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7613" w14:textId="77777777" w:rsidR="00224347" w:rsidRPr="00224347" w:rsidRDefault="00224347" w:rsidP="0022434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224347">
        <w:rPr>
          <w:rFonts w:ascii="Tahoma" w:eastAsia="Times New Roman" w:hAnsi="Tahoma" w:cs="Tahoma"/>
          <w:color w:val="DC3B33"/>
          <w:kern w:val="36"/>
          <w:sz w:val="45"/>
          <w:szCs w:val="45"/>
          <w:lang w:eastAsia="it-IT"/>
          <w14:ligatures w14:val="none"/>
        </w:rPr>
        <w:t>Scuola: sul cedolino del mese di dicembre visibile lo stipendio, la 13esima e l’anticipo della parte economica del rinnovo del CCNL 2022-2024</w:t>
      </w:r>
    </w:p>
    <w:p w14:paraId="5448A1D3" w14:textId="77777777" w:rsidR="00224347" w:rsidRPr="00224347" w:rsidRDefault="00224347" w:rsidP="0022434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224347">
        <w:rPr>
          <w:rFonts w:ascii="Arial" w:eastAsia="Times New Roman" w:hAnsi="Arial" w:cs="Arial"/>
          <w:color w:val="535353"/>
          <w:kern w:val="0"/>
          <w:sz w:val="27"/>
          <w:szCs w:val="27"/>
          <w:lang w:eastAsia="it-IT"/>
          <w14:ligatures w14:val="none"/>
        </w:rPr>
        <w:t>Si conferma la modestia degli importi a fronte di stipendi pesantemente falcidiati dall'inflazione.</w:t>
      </w:r>
    </w:p>
    <w:p w14:paraId="0174FD4A" w14:textId="77777777" w:rsidR="00224347" w:rsidRPr="00224347" w:rsidRDefault="00224347" w:rsidP="00224347">
      <w:pPr>
        <w:shd w:val="clear" w:color="auto" w:fill="FFFFFF"/>
        <w:spacing w:after="0" w:line="240" w:lineRule="auto"/>
        <w:rPr>
          <w:rFonts w:ascii="Arial" w:eastAsia="Times New Roman" w:hAnsi="Arial" w:cs="Arial"/>
          <w:color w:val="4D4D4D"/>
          <w:kern w:val="0"/>
          <w:sz w:val="21"/>
          <w:szCs w:val="21"/>
          <w:lang w:eastAsia="it-IT"/>
          <w14:ligatures w14:val="none"/>
        </w:rPr>
      </w:pPr>
      <w:r w:rsidRPr="00224347">
        <w:rPr>
          <w:rFonts w:ascii="Arial" w:eastAsia="Times New Roman" w:hAnsi="Arial" w:cs="Arial"/>
          <w:b/>
          <w:bCs/>
          <w:color w:val="4D4D4D"/>
          <w:kern w:val="0"/>
          <w:sz w:val="21"/>
          <w:szCs w:val="21"/>
          <w:lang w:eastAsia="it-IT"/>
          <w14:ligatures w14:val="none"/>
        </w:rPr>
        <w:t>15/12/2023</w:t>
      </w:r>
    </w:p>
    <w:p w14:paraId="6B7290D1" w14:textId="77777777" w:rsidR="00224347" w:rsidRDefault="00224347" w:rsidP="00224347">
      <w:pPr>
        <w:shd w:val="clear" w:color="auto" w:fill="FFFFFF"/>
        <w:spacing w:after="0" w:line="240" w:lineRule="auto"/>
        <w:rPr>
          <w:rFonts w:ascii="Arial" w:eastAsia="Times New Roman" w:hAnsi="Arial" w:cs="Arial"/>
          <w:color w:val="000000"/>
          <w:kern w:val="0"/>
          <w:sz w:val="21"/>
          <w:szCs w:val="21"/>
          <w:lang w:eastAsia="it-IT"/>
          <w14:ligatures w14:val="none"/>
        </w:rPr>
      </w:pPr>
    </w:p>
    <w:p w14:paraId="7A4FA1DC" w14:textId="0203EB9D" w:rsidR="00224347" w:rsidRPr="00224347" w:rsidRDefault="00224347" w:rsidP="00224347">
      <w:pPr>
        <w:shd w:val="clear" w:color="auto" w:fill="FFFFFF"/>
        <w:spacing w:after="0" w:line="240" w:lineRule="auto"/>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Nell’area riservata del portale </w:t>
      </w:r>
      <w:proofErr w:type="spellStart"/>
      <w:r w:rsidRPr="00224347">
        <w:rPr>
          <w:rFonts w:ascii="Arial" w:eastAsia="Times New Roman" w:hAnsi="Arial" w:cs="Arial"/>
          <w:b/>
          <w:bCs/>
          <w:color w:val="000000"/>
          <w:kern w:val="0"/>
          <w:sz w:val="21"/>
          <w:szCs w:val="21"/>
          <w:lang w:eastAsia="it-IT"/>
          <w14:ligatures w14:val="none"/>
        </w:rPr>
        <w:t>NoiPa</w:t>
      </w:r>
      <w:proofErr w:type="spellEnd"/>
      <w:r w:rsidRPr="00224347">
        <w:rPr>
          <w:rFonts w:ascii="Arial" w:eastAsia="Times New Roman" w:hAnsi="Arial" w:cs="Arial"/>
          <w:color w:val="000000"/>
          <w:kern w:val="0"/>
          <w:sz w:val="21"/>
          <w:szCs w:val="21"/>
          <w:lang w:eastAsia="it-IT"/>
          <w14:ligatures w14:val="none"/>
        </w:rPr>
        <w:t> (il portale del MEF che gestisce il servizio dei pagamenti del personale della Pubblica Amministrazione) è consultabile il </w:t>
      </w:r>
      <w:r w:rsidRPr="00224347">
        <w:rPr>
          <w:rFonts w:ascii="Arial" w:eastAsia="Times New Roman" w:hAnsi="Arial" w:cs="Arial"/>
          <w:b/>
          <w:bCs/>
          <w:color w:val="000000"/>
          <w:kern w:val="0"/>
          <w:sz w:val="21"/>
          <w:szCs w:val="21"/>
          <w:lang w:eastAsia="it-IT"/>
          <w14:ligatures w14:val="none"/>
        </w:rPr>
        <w:t>cedolino stipendiale</w:t>
      </w:r>
      <w:r w:rsidRPr="00224347">
        <w:rPr>
          <w:rFonts w:ascii="Arial" w:eastAsia="Times New Roman" w:hAnsi="Arial" w:cs="Arial"/>
          <w:color w:val="000000"/>
          <w:kern w:val="0"/>
          <w:sz w:val="21"/>
          <w:szCs w:val="21"/>
          <w:lang w:eastAsia="it-IT"/>
          <w14:ligatures w14:val="none"/>
        </w:rPr>
        <w:t> del mese di </w:t>
      </w:r>
      <w:r w:rsidRPr="00224347">
        <w:rPr>
          <w:rFonts w:ascii="Arial" w:eastAsia="Times New Roman" w:hAnsi="Arial" w:cs="Arial"/>
          <w:b/>
          <w:bCs/>
          <w:color w:val="000000"/>
          <w:kern w:val="0"/>
          <w:sz w:val="21"/>
          <w:szCs w:val="21"/>
          <w:lang w:eastAsia="it-IT"/>
          <w14:ligatures w14:val="none"/>
        </w:rPr>
        <w:t>dicembre </w:t>
      </w:r>
      <w:r w:rsidRPr="00224347">
        <w:rPr>
          <w:rFonts w:ascii="Arial" w:eastAsia="Times New Roman" w:hAnsi="Arial" w:cs="Arial"/>
          <w:color w:val="000000"/>
          <w:kern w:val="0"/>
          <w:sz w:val="21"/>
          <w:szCs w:val="21"/>
          <w:lang w:eastAsia="it-IT"/>
          <w14:ligatures w14:val="none"/>
        </w:rPr>
        <w:t>dei lavoratori del settore</w:t>
      </w:r>
      <w:r w:rsidRPr="00224347">
        <w:rPr>
          <w:rFonts w:ascii="Arial" w:eastAsia="Times New Roman" w:hAnsi="Arial" w:cs="Arial"/>
          <w:b/>
          <w:bCs/>
          <w:color w:val="000000"/>
          <w:kern w:val="0"/>
          <w:sz w:val="21"/>
          <w:szCs w:val="21"/>
          <w:lang w:eastAsia="it-IT"/>
          <w14:ligatures w14:val="none"/>
        </w:rPr>
        <w:t> scuola</w:t>
      </w:r>
      <w:r w:rsidRPr="00224347">
        <w:rPr>
          <w:rFonts w:ascii="Arial" w:eastAsia="Times New Roman" w:hAnsi="Arial" w:cs="Arial"/>
          <w:color w:val="000000"/>
          <w:kern w:val="0"/>
          <w:sz w:val="21"/>
          <w:szCs w:val="21"/>
          <w:lang w:eastAsia="it-IT"/>
          <w14:ligatures w14:val="none"/>
        </w:rPr>
        <w:t>.</w:t>
      </w:r>
    </w:p>
    <w:p w14:paraId="5C017918" w14:textId="77777777"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Oltre alla rata stipendiale del mese di dicembre è visibile l’importo della</w:t>
      </w:r>
      <w:r w:rsidRPr="00224347">
        <w:rPr>
          <w:rFonts w:ascii="Arial" w:eastAsia="Times New Roman" w:hAnsi="Arial" w:cs="Arial"/>
          <w:b/>
          <w:bCs/>
          <w:color w:val="000000"/>
          <w:kern w:val="0"/>
          <w:sz w:val="21"/>
          <w:szCs w:val="21"/>
          <w:lang w:eastAsia="it-IT"/>
          <w14:ligatures w14:val="none"/>
        </w:rPr>
        <w:t> tredicesima mensilità</w:t>
      </w:r>
      <w:r w:rsidRPr="00224347">
        <w:rPr>
          <w:rFonts w:ascii="Arial" w:eastAsia="Times New Roman" w:hAnsi="Arial" w:cs="Arial"/>
          <w:color w:val="000000"/>
          <w:kern w:val="0"/>
          <w:sz w:val="21"/>
          <w:szCs w:val="21"/>
          <w:lang w:eastAsia="it-IT"/>
          <w14:ligatures w14:val="none"/>
        </w:rPr>
        <w:t> e anche l’</w:t>
      </w:r>
      <w:r w:rsidRPr="00224347">
        <w:rPr>
          <w:rFonts w:ascii="Arial" w:eastAsia="Times New Roman" w:hAnsi="Arial" w:cs="Arial"/>
          <w:b/>
          <w:bCs/>
          <w:color w:val="000000"/>
          <w:kern w:val="0"/>
          <w:sz w:val="21"/>
          <w:szCs w:val="21"/>
          <w:lang w:eastAsia="it-IT"/>
          <w14:ligatures w14:val="none"/>
        </w:rPr>
        <w:t>emolumento economico</w:t>
      </w:r>
      <w:r w:rsidRPr="00224347">
        <w:rPr>
          <w:rFonts w:ascii="Arial" w:eastAsia="Times New Roman" w:hAnsi="Arial" w:cs="Arial"/>
          <w:color w:val="000000"/>
          <w:kern w:val="0"/>
          <w:sz w:val="21"/>
          <w:szCs w:val="21"/>
          <w:lang w:eastAsia="it-IT"/>
          <w14:ligatures w14:val="none"/>
        </w:rPr>
        <w:t> disposto con il </w:t>
      </w:r>
      <w:hyperlink r:id="rId5" w:tgtFrame="_blank" w:history="1">
        <w:r w:rsidRPr="00224347">
          <w:rPr>
            <w:rFonts w:ascii="Arial" w:eastAsia="Times New Roman" w:hAnsi="Arial" w:cs="Arial"/>
            <w:color w:val="005EB3"/>
            <w:kern w:val="0"/>
            <w:sz w:val="21"/>
            <w:szCs w:val="21"/>
            <w:u w:val="single"/>
            <w:lang w:eastAsia="it-IT"/>
            <w14:ligatures w14:val="none"/>
          </w:rPr>
          <w:t>decreto anticipi</w:t>
        </w:r>
      </w:hyperlink>
      <w:r w:rsidRPr="00224347">
        <w:rPr>
          <w:rFonts w:ascii="Arial" w:eastAsia="Times New Roman" w:hAnsi="Arial" w:cs="Arial"/>
          <w:b/>
          <w:bCs/>
          <w:color w:val="000000"/>
          <w:kern w:val="0"/>
          <w:sz w:val="21"/>
          <w:szCs w:val="21"/>
          <w:lang w:eastAsia="it-IT"/>
          <w14:ligatures w14:val="none"/>
        </w:rPr>
        <w:t> </w:t>
      </w:r>
      <w:r w:rsidRPr="00224347">
        <w:rPr>
          <w:rFonts w:ascii="Arial" w:eastAsia="Times New Roman" w:hAnsi="Arial" w:cs="Arial"/>
          <w:color w:val="000000"/>
          <w:kern w:val="0"/>
          <w:sz w:val="21"/>
          <w:szCs w:val="21"/>
          <w:lang w:eastAsia="it-IT"/>
          <w14:ligatures w14:val="none"/>
        </w:rPr>
        <w:t>(art. 3 DL 145/23). Quest’ultimo importo rappresenta un anticipo rispetto agli aumenti contrattuali relativi al triennio 2022-24 e corrispondono all’indennità di vacanza contrattuale (incrementata di 6,7 volte) spettante per tutto il 2024.</w:t>
      </w:r>
    </w:p>
    <w:p w14:paraId="3F8F7771" w14:textId="77777777"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Detto anticipo è corrisposto solo al personale a tempo indeterminato mentre al personale precario verrà riconosciuto su base mensile a partire da gennaio 2024.</w:t>
      </w:r>
    </w:p>
    <w:p w14:paraId="7DE60F33" w14:textId="77777777"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Le cifre indicate sono lordo dipendente pertanto per ottenere gli importi netti occorre sottrarre le ritenute previdenziali e fiscali che in alcuni casi superano anche il 40%. </w:t>
      </w:r>
      <w:hyperlink r:id="rId6" w:tgtFrame="_blank" w:history="1">
        <w:r w:rsidRPr="00224347">
          <w:rPr>
            <w:rFonts w:ascii="Arial" w:eastAsia="Times New Roman" w:hAnsi="Arial" w:cs="Arial"/>
            <w:color w:val="005EB3"/>
            <w:kern w:val="0"/>
            <w:sz w:val="21"/>
            <w:szCs w:val="21"/>
            <w:u w:val="single"/>
            <w:lang w:eastAsia="it-IT"/>
            <w14:ligatures w14:val="none"/>
          </w:rPr>
          <w:t>Qui</w:t>
        </w:r>
      </w:hyperlink>
      <w:r w:rsidRPr="00224347">
        <w:rPr>
          <w:rFonts w:ascii="Arial" w:eastAsia="Times New Roman" w:hAnsi="Arial" w:cs="Arial"/>
          <w:color w:val="000000"/>
          <w:kern w:val="0"/>
          <w:sz w:val="21"/>
          <w:szCs w:val="21"/>
          <w:lang w:eastAsia="it-IT"/>
          <w14:ligatures w14:val="none"/>
        </w:rPr>
        <w:t> è possibile consultare gli</w:t>
      </w:r>
      <w:r w:rsidRPr="00224347">
        <w:rPr>
          <w:rFonts w:ascii="Arial" w:eastAsia="Times New Roman" w:hAnsi="Arial" w:cs="Arial"/>
          <w:b/>
          <w:bCs/>
          <w:color w:val="000000"/>
          <w:kern w:val="0"/>
          <w:sz w:val="21"/>
          <w:szCs w:val="21"/>
          <w:lang w:eastAsia="it-IT"/>
          <w14:ligatures w14:val="none"/>
        </w:rPr>
        <w:t> importi in pagamento </w:t>
      </w:r>
      <w:r w:rsidRPr="00224347">
        <w:rPr>
          <w:rFonts w:ascii="Arial" w:eastAsia="Times New Roman" w:hAnsi="Arial" w:cs="Arial"/>
          <w:color w:val="000000"/>
          <w:kern w:val="0"/>
          <w:sz w:val="21"/>
          <w:szCs w:val="21"/>
          <w:lang w:eastAsia="it-IT"/>
          <w14:ligatures w14:val="none"/>
        </w:rPr>
        <w:t xml:space="preserve">relativi all’anticipo contrattuale suddivisi per profilo professionale e gradone di anzianità come stabilito dal decreto </w:t>
      </w:r>
      <w:proofErr w:type="spellStart"/>
      <w:proofErr w:type="gramStart"/>
      <w:r w:rsidRPr="00224347">
        <w:rPr>
          <w:rFonts w:ascii="Arial" w:eastAsia="Times New Roman" w:hAnsi="Arial" w:cs="Arial"/>
          <w:color w:val="000000"/>
          <w:kern w:val="0"/>
          <w:sz w:val="21"/>
          <w:szCs w:val="21"/>
          <w:lang w:eastAsia="it-IT"/>
          <w14:ligatures w14:val="none"/>
        </w:rPr>
        <w:t>anticipi.Si</w:t>
      </w:r>
      <w:proofErr w:type="spellEnd"/>
      <w:proofErr w:type="gramEnd"/>
      <w:r w:rsidRPr="00224347">
        <w:rPr>
          <w:rFonts w:ascii="Arial" w:eastAsia="Times New Roman" w:hAnsi="Arial" w:cs="Arial"/>
          <w:color w:val="000000"/>
          <w:kern w:val="0"/>
          <w:sz w:val="21"/>
          <w:szCs w:val="21"/>
          <w:lang w:eastAsia="it-IT"/>
          <w14:ligatures w14:val="none"/>
        </w:rPr>
        <w:t xml:space="preserve"> tratta di un modesto ristoro rispetto alla pesante perdita del potere d’acquisto dei salari che stanno subendo i lavoratori della scuola in questo periodo di alta inflazione. Le risorse stanziate in Legge di Bilancio 2024 dal Governo (comprensive dell’anticipo di dicembre) per il rinnovo contrattuale 2022-24 consentiranno un recupero stipendiale di appena il 5,78% a fronte di un’inflazione di circa il 18%.</w:t>
      </w:r>
    </w:p>
    <w:p w14:paraId="7DE21FF8" w14:textId="71F2B7E4" w:rsid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Pr>
          <w:rFonts w:ascii="Arial" w:eastAsia="Times New Roman" w:hAnsi="Arial" w:cs="Arial"/>
          <w:color w:val="000000"/>
          <w:kern w:val="0"/>
          <w:sz w:val="21"/>
          <w:szCs w:val="21"/>
          <w:lang w:eastAsia="it-IT"/>
          <w14:ligatures w14:val="none"/>
        </w:rPr>
        <w:t>A questo link</w:t>
      </w:r>
      <w:r w:rsidRPr="00224347">
        <w:rPr>
          <w:rFonts w:ascii="Arial" w:eastAsia="Times New Roman" w:hAnsi="Arial" w:cs="Arial"/>
          <w:color w:val="000000"/>
          <w:kern w:val="0"/>
          <w:sz w:val="21"/>
          <w:szCs w:val="21"/>
          <w:lang w:eastAsia="it-IT"/>
          <w14:ligatures w14:val="none"/>
        </w:rPr>
        <w:t> è possibile verificare le</w:t>
      </w:r>
      <w:r w:rsidRPr="00224347">
        <w:rPr>
          <w:rFonts w:ascii="Arial" w:eastAsia="Times New Roman" w:hAnsi="Arial" w:cs="Arial"/>
          <w:b/>
          <w:bCs/>
          <w:color w:val="000000"/>
          <w:kern w:val="0"/>
          <w:sz w:val="21"/>
          <w:szCs w:val="21"/>
          <w:lang w:eastAsia="it-IT"/>
          <w14:ligatures w14:val="none"/>
        </w:rPr>
        <w:t> perdite salariali dei lavoratori della scuola</w:t>
      </w:r>
      <w:r w:rsidRPr="00224347">
        <w:rPr>
          <w:rFonts w:ascii="Arial" w:eastAsia="Times New Roman" w:hAnsi="Arial" w:cs="Arial"/>
          <w:color w:val="000000"/>
          <w:kern w:val="0"/>
          <w:sz w:val="21"/>
          <w:szCs w:val="21"/>
          <w:lang w:eastAsia="it-IT"/>
          <w14:ligatures w14:val="none"/>
        </w:rPr>
        <w:t>, suddivisi per profilo e anzianità di servizio, a fronte dell’alta inflazione e degli scarsi finanziamenti in legge di bilancio per i rinnovi contrattuali 2022-2024</w:t>
      </w:r>
      <w:r>
        <w:rPr>
          <w:rFonts w:ascii="Arial" w:eastAsia="Times New Roman" w:hAnsi="Arial" w:cs="Arial"/>
          <w:color w:val="000000"/>
          <w:kern w:val="0"/>
          <w:sz w:val="21"/>
          <w:szCs w:val="21"/>
          <w:lang w:eastAsia="it-IT"/>
          <w14:ligatures w14:val="none"/>
        </w:rPr>
        <w:t>.</w:t>
      </w:r>
    </w:p>
    <w:p w14:paraId="2CE91689" w14:textId="18360C63"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https://www.flcgil.it/scuola/inflazione-da-profitto-e-contratti-per-ministro-zangrillo-a-pagarne-spese-sono-lavoratori.flc</w:t>
      </w:r>
    </w:p>
    <w:p w14:paraId="019D6CB1" w14:textId="77777777" w:rsidR="00224347" w:rsidRPr="00224347" w:rsidRDefault="00224347" w:rsidP="0022434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224347">
        <w:rPr>
          <w:rFonts w:ascii="Tahoma" w:eastAsia="Times New Roman" w:hAnsi="Tahoma" w:cs="Tahoma"/>
          <w:color w:val="DC3B33"/>
          <w:kern w:val="36"/>
          <w:sz w:val="45"/>
          <w:szCs w:val="45"/>
          <w:lang w:eastAsia="it-IT"/>
          <w14:ligatures w14:val="none"/>
        </w:rPr>
        <w:t>FMOF: sottoscritto in via definitiva il CCNI 2023/24 sui criteri di riparto dei finanziamenti alle scuole e il CCNI 2017/18 sulle economie</w:t>
      </w:r>
    </w:p>
    <w:p w14:paraId="0F5F6B5D" w14:textId="77777777" w:rsidR="00224347" w:rsidRPr="00224347" w:rsidRDefault="00224347" w:rsidP="0022434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224347">
        <w:rPr>
          <w:rFonts w:ascii="Arial" w:eastAsia="Times New Roman" w:hAnsi="Arial" w:cs="Arial"/>
          <w:color w:val="535353"/>
          <w:kern w:val="0"/>
          <w:sz w:val="27"/>
          <w:szCs w:val="27"/>
          <w:lang w:eastAsia="it-IT"/>
          <w14:ligatures w14:val="none"/>
        </w:rPr>
        <w:t>Definiti i prossimi impegni di contrattazione finalizzati alla remunerazione accessoria del personale della scuola</w:t>
      </w:r>
    </w:p>
    <w:p w14:paraId="36BAF025" w14:textId="77777777" w:rsidR="00224347" w:rsidRDefault="00224347" w:rsidP="00224347">
      <w:pPr>
        <w:shd w:val="clear" w:color="auto" w:fill="FFFFFF"/>
        <w:spacing w:after="0" w:line="240" w:lineRule="auto"/>
        <w:rPr>
          <w:rFonts w:ascii="Arial" w:eastAsia="Times New Roman" w:hAnsi="Arial" w:cs="Arial"/>
          <w:color w:val="4D4D4D"/>
          <w:kern w:val="0"/>
          <w:sz w:val="21"/>
          <w:szCs w:val="21"/>
          <w:lang w:eastAsia="it-IT"/>
          <w14:ligatures w14:val="none"/>
        </w:rPr>
      </w:pPr>
      <w:r w:rsidRPr="00224347">
        <w:rPr>
          <w:rFonts w:ascii="Arial" w:eastAsia="Times New Roman" w:hAnsi="Arial" w:cs="Arial"/>
          <w:b/>
          <w:bCs/>
          <w:color w:val="4D4D4D"/>
          <w:kern w:val="0"/>
          <w:sz w:val="21"/>
          <w:szCs w:val="21"/>
          <w:lang w:eastAsia="it-IT"/>
          <w14:ligatures w14:val="none"/>
        </w:rPr>
        <w:t>12/12/2023</w:t>
      </w:r>
    </w:p>
    <w:p w14:paraId="379B1E40" w14:textId="77777777" w:rsidR="00224347" w:rsidRDefault="00224347" w:rsidP="00224347">
      <w:pPr>
        <w:shd w:val="clear" w:color="auto" w:fill="FFFFFF"/>
        <w:spacing w:after="0" w:line="240" w:lineRule="auto"/>
        <w:rPr>
          <w:rFonts w:ascii="Arial" w:eastAsia="Times New Roman" w:hAnsi="Arial" w:cs="Arial"/>
          <w:color w:val="4D4D4D"/>
          <w:kern w:val="0"/>
          <w:sz w:val="21"/>
          <w:szCs w:val="21"/>
          <w:lang w:eastAsia="it-IT"/>
          <w14:ligatures w14:val="none"/>
        </w:rPr>
      </w:pPr>
    </w:p>
    <w:p w14:paraId="1DF2EECF" w14:textId="3C9B9475" w:rsidR="00224347" w:rsidRPr="00224347" w:rsidRDefault="00224347" w:rsidP="00224347">
      <w:pPr>
        <w:shd w:val="clear" w:color="auto" w:fill="FFFFFF"/>
        <w:spacing w:after="0" w:line="240" w:lineRule="auto"/>
        <w:rPr>
          <w:rFonts w:ascii="Arial" w:eastAsia="Times New Roman" w:hAnsi="Arial" w:cs="Arial"/>
          <w:color w:val="4D4D4D"/>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Nella giornata del 12 dicembre 2023 </w:t>
      </w:r>
      <w:r w:rsidRPr="00224347">
        <w:rPr>
          <w:rFonts w:ascii="Arial" w:eastAsia="Times New Roman" w:hAnsi="Arial" w:cs="Arial"/>
          <w:b/>
          <w:bCs/>
          <w:color w:val="000000"/>
          <w:kern w:val="0"/>
          <w:sz w:val="21"/>
          <w:szCs w:val="21"/>
          <w:lang w:eastAsia="it-IT"/>
          <w14:ligatures w14:val="none"/>
        </w:rPr>
        <w:t>è stato sottoscritto in via definitiva</w:t>
      </w:r>
      <w:r w:rsidRPr="00224347">
        <w:rPr>
          <w:rFonts w:ascii="Arial" w:eastAsia="Times New Roman" w:hAnsi="Arial" w:cs="Arial"/>
          <w:color w:val="000000"/>
          <w:kern w:val="0"/>
          <w:sz w:val="21"/>
          <w:szCs w:val="21"/>
          <w:lang w:eastAsia="it-IT"/>
          <w14:ligatures w14:val="none"/>
        </w:rPr>
        <w:t> presso il Ministero dell’Istruzione</w:t>
      </w:r>
      <w:r w:rsidRPr="00224347">
        <w:rPr>
          <w:rFonts w:ascii="Arial" w:eastAsia="Times New Roman" w:hAnsi="Arial" w:cs="Arial"/>
          <w:b/>
          <w:bCs/>
          <w:color w:val="000000"/>
          <w:kern w:val="0"/>
          <w:sz w:val="21"/>
          <w:szCs w:val="21"/>
          <w:lang w:eastAsia="it-IT"/>
          <w14:ligatures w14:val="none"/>
        </w:rPr>
        <w:t> il CCNI relativo ai criteri di ripartizione alle scuole delle risorse finanziarie del Fondo per il miglioramento dell’offerta formativa</w:t>
      </w:r>
      <w:r w:rsidRPr="00224347">
        <w:rPr>
          <w:rFonts w:ascii="Arial" w:eastAsia="Times New Roman" w:hAnsi="Arial" w:cs="Arial"/>
          <w:color w:val="000000"/>
          <w:kern w:val="0"/>
          <w:sz w:val="21"/>
          <w:szCs w:val="21"/>
          <w:lang w:eastAsia="it-IT"/>
          <w14:ligatures w14:val="none"/>
        </w:rPr>
        <w:t> (</w:t>
      </w:r>
      <w:proofErr w:type="spellStart"/>
      <w:r w:rsidRPr="00224347">
        <w:rPr>
          <w:rFonts w:ascii="Arial" w:eastAsia="Times New Roman" w:hAnsi="Arial" w:cs="Arial"/>
          <w:color w:val="000000"/>
          <w:kern w:val="0"/>
          <w:sz w:val="21"/>
          <w:szCs w:val="21"/>
          <w:lang w:eastAsia="it-IT"/>
          <w14:ligatures w14:val="none"/>
        </w:rPr>
        <w:t>Fmof</w:t>
      </w:r>
      <w:proofErr w:type="spellEnd"/>
      <w:r w:rsidRPr="00224347">
        <w:rPr>
          <w:rFonts w:ascii="Arial" w:eastAsia="Times New Roman" w:hAnsi="Arial" w:cs="Arial"/>
          <w:color w:val="000000"/>
          <w:kern w:val="0"/>
          <w:sz w:val="21"/>
          <w:szCs w:val="21"/>
          <w:lang w:eastAsia="it-IT"/>
          <w14:ligatures w14:val="none"/>
        </w:rPr>
        <w:t xml:space="preserve">) </w:t>
      </w:r>
      <w:proofErr w:type="spellStart"/>
      <w:r w:rsidRPr="00224347">
        <w:rPr>
          <w:rFonts w:ascii="Arial" w:eastAsia="Times New Roman" w:hAnsi="Arial" w:cs="Arial"/>
          <w:color w:val="000000"/>
          <w:kern w:val="0"/>
          <w:sz w:val="21"/>
          <w:szCs w:val="21"/>
          <w:lang w:eastAsia="it-IT"/>
          <w14:ligatures w14:val="none"/>
        </w:rPr>
        <w:t>a.s.</w:t>
      </w:r>
      <w:proofErr w:type="spellEnd"/>
      <w:r w:rsidRPr="00224347">
        <w:rPr>
          <w:rFonts w:ascii="Arial" w:eastAsia="Times New Roman" w:hAnsi="Arial" w:cs="Arial"/>
          <w:color w:val="000000"/>
          <w:kern w:val="0"/>
          <w:sz w:val="21"/>
          <w:szCs w:val="21"/>
          <w:lang w:eastAsia="it-IT"/>
          <w14:ligatures w14:val="none"/>
        </w:rPr>
        <w:t xml:space="preserve"> 2023/24. L’ammontare dei finanziamenti spettanti a ciascuna istituzione scolastica è stato già comunicato dal Ministero dopo la sottoscrizione dell’ipotesi del contratto con apposita nota nello scorso mese di settembre. </w:t>
      </w:r>
    </w:p>
    <w:p w14:paraId="0BC03246" w14:textId="77777777"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lastRenderedPageBreak/>
        <w:t>Nella medesima giornata è stato anche </w:t>
      </w:r>
      <w:r w:rsidRPr="00224347">
        <w:rPr>
          <w:rFonts w:ascii="Arial" w:eastAsia="Times New Roman" w:hAnsi="Arial" w:cs="Arial"/>
          <w:b/>
          <w:bCs/>
          <w:color w:val="000000"/>
          <w:kern w:val="0"/>
          <w:sz w:val="21"/>
          <w:szCs w:val="21"/>
          <w:lang w:eastAsia="it-IT"/>
          <w14:ligatures w14:val="none"/>
        </w:rPr>
        <w:t xml:space="preserve">sottoscritto in via definitiva il CCNI per la ripartizione delle economie relative al </w:t>
      </w:r>
      <w:proofErr w:type="spellStart"/>
      <w:r w:rsidRPr="00224347">
        <w:rPr>
          <w:rFonts w:ascii="Arial" w:eastAsia="Times New Roman" w:hAnsi="Arial" w:cs="Arial"/>
          <w:b/>
          <w:bCs/>
          <w:color w:val="000000"/>
          <w:kern w:val="0"/>
          <w:sz w:val="21"/>
          <w:szCs w:val="21"/>
          <w:lang w:eastAsia="it-IT"/>
          <w14:ligatures w14:val="none"/>
        </w:rPr>
        <w:t>Fmof</w:t>
      </w:r>
      <w:proofErr w:type="spellEnd"/>
      <w:r w:rsidRPr="00224347">
        <w:rPr>
          <w:rFonts w:ascii="Arial" w:eastAsia="Times New Roman" w:hAnsi="Arial" w:cs="Arial"/>
          <w:b/>
          <w:bCs/>
          <w:color w:val="000000"/>
          <w:kern w:val="0"/>
          <w:sz w:val="21"/>
          <w:szCs w:val="21"/>
          <w:lang w:eastAsia="it-IT"/>
          <w14:ligatures w14:val="none"/>
        </w:rPr>
        <w:t xml:space="preserve"> </w:t>
      </w:r>
      <w:proofErr w:type="spellStart"/>
      <w:r w:rsidRPr="00224347">
        <w:rPr>
          <w:rFonts w:ascii="Arial" w:eastAsia="Times New Roman" w:hAnsi="Arial" w:cs="Arial"/>
          <w:b/>
          <w:bCs/>
          <w:color w:val="000000"/>
          <w:kern w:val="0"/>
          <w:sz w:val="21"/>
          <w:szCs w:val="21"/>
          <w:lang w:eastAsia="it-IT"/>
          <w14:ligatures w14:val="none"/>
        </w:rPr>
        <w:t>a.s.</w:t>
      </w:r>
      <w:proofErr w:type="spellEnd"/>
      <w:r w:rsidRPr="00224347">
        <w:rPr>
          <w:rFonts w:ascii="Arial" w:eastAsia="Times New Roman" w:hAnsi="Arial" w:cs="Arial"/>
          <w:b/>
          <w:bCs/>
          <w:color w:val="000000"/>
          <w:kern w:val="0"/>
          <w:sz w:val="21"/>
          <w:szCs w:val="21"/>
          <w:lang w:eastAsia="it-IT"/>
          <w14:ligatures w14:val="none"/>
        </w:rPr>
        <w:t xml:space="preserve"> 2017/18</w:t>
      </w:r>
      <w:r w:rsidRPr="00224347">
        <w:rPr>
          <w:rFonts w:ascii="Arial" w:eastAsia="Times New Roman" w:hAnsi="Arial" w:cs="Arial"/>
          <w:color w:val="000000"/>
          <w:kern w:val="0"/>
          <w:sz w:val="21"/>
          <w:szCs w:val="21"/>
          <w:lang w:eastAsia="it-IT"/>
          <w14:ligatures w14:val="none"/>
        </w:rPr>
        <w:t> e delle economie realizzate negli esercizi finanziari 2016 e 2017 nel bilancio MAECI (si tratta delle somme destinate al miglioramento dell’offerta formativa delle scuole italiane all’estero e non utilizzate). Queste risorse ammontano a 7.735 mila euro e sono destinate per circa la metà (3.691 mila euro) ad incrementare il fondo di tutte le istituzioni scolastiche, per la restante parte in modo proporzionato per riconoscere l’indennità di direzione al sostituto del DSGA (1.683 mila euro), l’indennità di bilinguismo e trilinguismo delle regioni del Friuli Venezia Giulia (119 mila euro), ai turni notturni e/o festivi svolti dagli educatori e dal personale Ata presso Convitti ed Educandati (1.840 mila euro), infine per incentivare i progetti relativi alle aree a rischio (400 mila euro). Quanto prima l’Amministrazione comunicherà la cifra spettante a ciascuna scuola.</w:t>
      </w:r>
    </w:p>
    <w:p w14:paraId="67556E4F" w14:textId="77777777" w:rsidR="00224347" w:rsidRPr="00224347" w:rsidRDefault="00224347" w:rsidP="0022434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24347">
        <w:rPr>
          <w:rFonts w:ascii="Arial" w:eastAsia="Times New Roman" w:hAnsi="Arial" w:cs="Arial"/>
          <w:color w:val="000000"/>
          <w:kern w:val="0"/>
          <w:sz w:val="21"/>
          <w:szCs w:val="21"/>
          <w:lang w:eastAsia="it-IT"/>
          <w14:ligatures w14:val="none"/>
        </w:rPr>
        <w:t>Nel corso dell’incontro, su richiesta del sindacato, sono state fornite anche informazioni e chiarimenti relativi ad impegni e scadenze previste nelle prossime settimane:</w:t>
      </w:r>
    </w:p>
    <w:p w14:paraId="5375C675" w14:textId="77777777" w:rsidR="00224347" w:rsidRPr="00224347" w:rsidRDefault="00224347" w:rsidP="00224347">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224347">
        <w:rPr>
          <w:rFonts w:ascii="Arial" w:eastAsia="Times New Roman" w:hAnsi="Arial" w:cs="Arial"/>
          <w:color w:val="000000"/>
          <w:kern w:val="0"/>
          <w:sz w:val="23"/>
          <w:szCs w:val="23"/>
          <w:lang w:eastAsia="it-IT"/>
          <w14:ligatures w14:val="none"/>
        </w:rPr>
        <w:t xml:space="preserve">le parti saranno riconvocate a breve per definire il CCNI per la ripartizione alle scuole delle economie derivanti in parte dal bilancio MAECI per il periodo 2018-2022 e in parte da altre poste stanziate dal Ministero nel 2020 e non utilizzate (per la predisposizione delle GPS, per gli esami di </w:t>
      </w:r>
      <w:proofErr w:type="gramStart"/>
      <w:r w:rsidRPr="00224347">
        <w:rPr>
          <w:rFonts w:ascii="Arial" w:eastAsia="Times New Roman" w:hAnsi="Arial" w:cs="Arial"/>
          <w:color w:val="000000"/>
          <w:kern w:val="0"/>
          <w:sz w:val="23"/>
          <w:szCs w:val="23"/>
          <w:lang w:eastAsia="it-IT"/>
          <w14:ligatures w14:val="none"/>
        </w:rPr>
        <w:t>stato,…</w:t>
      </w:r>
      <w:proofErr w:type="gramEnd"/>
      <w:r w:rsidRPr="00224347">
        <w:rPr>
          <w:rFonts w:ascii="Arial" w:eastAsia="Times New Roman" w:hAnsi="Arial" w:cs="Arial"/>
          <w:color w:val="000000"/>
          <w:kern w:val="0"/>
          <w:sz w:val="23"/>
          <w:szCs w:val="23"/>
          <w:lang w:eastAsia="it-IT"/>
          <w14:ligatures w14:val="none"/>
        </w:rPr>
        <w:t>). Complessivamente si tratta di circa 16 milioni di euro;</w:t>
      </w:r>
    </w:p>
    <w:p w14:paraId="684B56B6" w14:textId="77777777" w:rsidR="00224347" w:rsidRPr="00224347" w:rsidRDefault="00224347" w:rsidP="00224347">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224347">
        <w:rPr>
          <w:rFonts w:ascii="Arial" w:eastAsia="Times New Roman" w:hAnsi="Arial" w:cs="Arial"/>
          <w:color w:val="000000"/>
          <w:kern w:val="0"/>
          <w:sz w:val="23"/>
          <w:szCs w:val="23"/>
          <w:lang w:eastAsia="it-IT"/>
          <w14:ligatures w14:val="none"/>
        </w:rPr>
        <w:t>un’ulteriore convocazione sarà finalizzata a stabilire i criteri di riparto dei finanziamenti (6 milioni di euro) stanziati (ai sensi del DL 123/2023) per incrementare il fondo delle scuole comprese nei territori del Mezzogiorno (Agenda Sud) al fine di contenere e prevenire fenomeni di dispersione nelle istituzioni scolastiche in aree a forte rischio di abbandono e valorizzare i docenti che garantiscono la continuità didattica;</w:t>
      </w:r>
    </w:p>
    <w:p w14:paraId="2D4A66A6" w14:textId="77777777" w:rsidR="00224347" w:rsidRPr="00224347" w:rsidRDefault="00224347" w:rsidP="00224347">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224347">
        <w:rPr>
          <w:rFonts w:ascii="Arial" w:eastAsia="Times New Roman" w:hAnsi="Arial" w:cs="Arial"/>
          <w:color w:val="000000"/>
          <w:kern w:val="0"/>
          <w:sz w:val="23"/>
          <w:szCs w:val="23"/>
          <w:lang w:eastAsia="it-IT"/>
          <w14:ligatures w14:val="none"/>
        </w:rPr>
        <w:t>inoltre sarà calendarizzata una convocazione per ridefinire il CCNI per la ripartizione (ai sensi dell'art. 20, comma 4, del d.lgs. n. 66/2017) delle risorse finanziarie (2 mln di euro) destinate a retribuire le attività svolte dai docenti nell’ambito dei Gruppi per l’inclusione territoriale (GIT) la cui prima ipotesi, sottoscritta nel 2022, ha sollevato alcuni rilievi da parte degli organismi di controllo;</w:t>
      </w:r>
    </w:p>
    <w:p w14:paraId="1A50C2AD" w14:textId="77777777" w:rsidR="00224347" w:rsidRPr="00224347" w:rsidRDefault="00224347" w:rsidP="00224347">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224347">
        <w:rPr>
          <w:rFonts w:ascii="Arial" w:eastAsia="Times New Roman" w:hAnsi="Arial" w:cs="Arial"/>
          <w:color w:val="000000"/>
          <w:kern w:val="0"/>
          <w:sz w:val="23"/>
          <w:szCs w:val="23"/>
          <w:lang w:eastAsia="it-IT"/>
          <w14:ligatures w14:val="none"/>
        </w:rPr>
        <w:t>entro gennaio 2024 saranno assegnate alle scuole le risorse (3 milioni di euro) relative al riconoscimento dell’indennità per i docenti che prestano servizio nelle piccole isole (ai sensi dell’articolo 1, comma 770, della legge 234/2021). Queste risorse sono oggetto di contrattazione integrativa a livello di scuola;</w:t>
      </w:r>
    </w:p>
    <w:p w14:paraId="27492E8E" w14:textId="77777777" w:rsidR="00224347" w:rsidRPr="00224347" w:rsidRDefault="00224347" w:rsidP="00224347">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224347">
        <w:rPr>
          <w:rFonts w:ascii="Arial" w:eastAsia="Times New Roman" w:hAnsi="Arial" w:cs="Arial"/>
          <w:color w:val="000000"/>
          <w:kern w:val="0"/>
          <w:sz w:val="23"/>
          <w:szCs w:val="23"/>
          <w:lang w:eastAsia="it-IT"/>
          <w14:ligatures w14:val="none"/>
        </w:rPr>
        <w:t>sempre entro gennaio 2024 saranno distribuite alle scuole le risorse destinate al personale docente che garantisce la continuità didattica e/o presta servizio presso scuole caratterizzate da forte disagio sociale (ai sensi del DM 258/2022). L’ Amministrazione ha comunicato che di questo compenso -sulla base dei parametri stabiliti dal decreto- beneficeranno poco meno di 20.000 docenti per un importo unitario che va da un minimo di 868 euro (lordo dipendente) ad un massimo di 1.823 euro (lordo dipendente).</w:t>
      </w:r>
    </w:p>
    <w:p w14:paraId="68584ADE" w14:textId="77777777" w:rsidR="00224347" w:rsidRDefault="00224347" w:rsidP="00D4482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3F74042F" w14:textId="6C85E969" w:rsidR="00D44827" w:rsidRPr="00D44827" w:rsidRDefault="00D44827" w:rsidP="00D4482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44827">
        <w:rPr>
          <w:rFonts w:ascii="Tahoma" w:eastAsia="Times New Roman" w:hAnsi="Tahoma" w:cs="Tahoma"/>
          <w:color w:val="DC3B33"/>
          <w:kern w:val="36"/>
          <w:sz w:val="45"/>
          <w:szCs w:val="45"/>
          <w:lang w:eastAsia="it-IT"/>
          <w14:ligatures w14:val="none"/>
        </w:rPr>
        <w:t>Il Ministro Valditara forza e per decreto attiva la sperimentazione della filiera formativa tecnologico-professionale</w:t>
      </w:r>
    </w:p>
    <w:p w14:paraId="60D1426F" w14:textId="77777777" w:rsidR="00D44827" w:rsidRPr="00D44827" w:rsidRDefault="00D44827" w:rsidP="00D4482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44827">
        <w:rPr>
          <w:rFonts w:ascii="Arial" w:eastAsia="Times New Roman" w:hAnsi="Arial" w:cs="Arial"/>
          <w:color w:val="535353"/>
          <w:kern w:val="0"/>
          <w:sz w:val="27"/>
          <w:szCs w:val="27"/>
          <w:lang w:eastAsia="it-IT"/>
          <w14:ligatures w14:val="none"/>
        </w:rPr>
        <w:t>Pubblicato il decreto ministeriale concernente il progetto nazionale di sperimentazione relativo all’istituzione della filiera formativa tecnologico-</w:t>
      </w:r>
      <w:r w:rsidRPr="00D44827">
        <w:rPr>
          <w:rFonts w:ascii="Arial" w:eastAsia="Times New Roman" w:hAnsi="Arial" w:cs="Arial"/>
          <w:color w:val="535353"/>
          <w:kern w:val="0"/>
          <w:sz w:val="27"/>
          <w:szCs w:val="27"/>
          <w:lang w:eastAsia="it-IT"/>
          <w14:ligatures w14:val="none"/>
        </w:rPr>
        <w:lastRenderedPageBreak/>
        <w:t>professionale. Una forzatura inaccettabile in sprezzo del Parlamento e del parere del CSPI.</w:t>
      </w:r>
    </w:p>
    <w:p w14:paraId="56EE817A" w14:textId="77777777" w:rsidR="00D44827" w:rsidRPr="00D44827" w:rsidRDefault="00D44827" w:rsidP="00D44827">
      <w:pPr>
        <w:shd w:val="clear" w:color="auto" w:fill="FFFFFF"/>
        <w:spacing w:after="0" w:line="240" w:lineRule="auto"/>
        <w:rPr>
          <w:rFonts w:ascii="Arial" w:eastAsia="Times New Roman" w:hAnsi="Arial" w:cs="Arial"/>
          <w:color w:val="4D4D4D"/>
          <w:kern w:val="0"/>
          <w:sz w:val="21"/>
          <w:szCs w:val="21"/>
          <w:lang w:eastAsia="it-IT"/>
          <w14:ligatures w14:val="none"/>
        </w:rPr>
      </w:pPr>
      <w:r w:rsidRPr="00D44827">
        <w:rPr>
          <w:rFonts w:ascii="Arial" w:eastAsia="Times New Roman" w:hAnsi="Arial" w:cs="Arial"/>
          <w:b/>
          <w:bCs/>
          <w:color w:val="4D4D4D"/>
          <w:kern w:val="0"/>
          <w:sz w:val="21"/>
          <w:szCs w:val="21"/>
          <w:lang w:eastAsia="it-IT"/>
          <w14:ligatures w14:val="none"/>
        </w:rPr>
        <w:t>11/12/2023</w:t>
      </w:r>
    </w:p>
    <w:p w14:paraId="0A69C4EB" w14:textId="77777777" w:rsid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E2E09AB" w14:textId="0F60AA16"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color w:val="000000"/>
          <w:kern w:val="0"/>
          <w:sz w:val="21"/>
          <w:szCs w:val="21"/>
          <w:lang w:eastAsia="it-IT"/>
          <w14:ligatures w14:val="none"/>
        </w:rPr>
        <w:t>Con un’accelerazione improvvisa, di cui avevamo comunque avuto sentore, nella serata di giovedì 7 dicembre, è stato pubblicato il </w:t>
      </w:r>
      <w:hyperlink r:id="rId7" w:tgtFrame="_blank" w:history="1">
        <w:r w:rsidRPr="00D44827">
          <w:rPr>
            <w:rFonts w:ascii="Arial" w:eastAsia="Times New Roman" w:hAnsi="Arial" w:cs="Arial"/>
            <w:color w:val="005EB3"/>
            <w:kern w:val="0"/>
            <w:sz w:val="21"/>
            <w:szCs w:val="21"/>
            <w:u w:val="single"/>
            <w:lang w:eastAsia="it-IT"/>
            <w14:ligatures w14:val="none"/>
          </w:rPr>
          <w:t>Decreto Ministeriale 240</w:t>
        </w:r>
      </w:hyperlink>
      <w:r w:rsidRPr="00D44827">
        <w:rPr>
          <w:rFonts w:ascii="Arial" w:eastAsia="Times New Roman" w:hAnsi="Arial" w:cs="Arial"/>
          <w:color w:val="000000"/>
          <w:kern w:val="0"/>
          <w:sz w:val="21"/>
          <w:szCs w:val="21"/>
          <w:lang w:eastAsia="it-IT"/>
          <w14:ligatures w14:val="none"/>
        </w:rPr>
        <w:t> concernente il</w:t>
      </w:r>
      <w:r w:rsidRPr="00D44827">
        <w:rPr>
          <w:rFonts w:ascii="Arial" w:eastAsia="Times New Roman" w:hAnsi="Arial" w:cs="Arial"/>
          <w:b/>
          <w:bCs/>
          <w:color w:val="000000"/>
          <w:kern w:val="0"/>
          <w:sz w:val="21"/>
          <w:szCs w:val="21"/>
          <w:lang w:eastAsia="it-IT"/>
          <w14:ligatures w14:val="none"/>
        </w:rPr>
        <w:t> progetto nazionale di sperimentazione relativo all’istituzione della filiera formativa tecnologico-professionale</w:t>
      </w:r>
      <w:r w:rsidRPr="00D44827">
        <w:rPr>
          <w:rFonts w:ascii="Arial" w:eastAsia="Times New Roman" w:hAnsi="Arial" w:cs="Arial"/>
          <w:color w:val="000000"/>
          <w:kern w:val="0"/>
          <w:sz w:val="21"/>
          <w:szCs w:val="21"/>
          <w:lang w:eastAsia="it-IT"/>
          <w14:ligatures w14:val="none"/>
        </w:rPr>
        <w:t>. Il decreto anticipa all’anno scolastico 2024/25 la possibilità di attivare in via sperimentale la filiera formativa tecnologico-professionale visto che il disegno di legge è ancora in discussione al senato (Atto Senato n. 924) per cui non sarà possibile approvarlo in coincidenza con la tempistica delle iscrizioni al nuovo anno scolastico. La stessa sera viene pubblicato anche il </w:t>
      </w:r>
      <w:hyperlink r:id="rId8" w:tgtFrame="_blank" w:history="1">
        <w:r w:rsidRPr="00D44827">
          <w:rPr>
            <w:rFonts w:ascii="Arial" w:eastAsia="Times New Roman" w:hAnsi="Arial" w:cs="Arial"/>
            <w:color w:val="005EB3"/>
            <w:kern w:val="0"/>
            <w:sz w:val="21"/>
            <w:szCs w:val="21"/>
            <w:u w:val="single"/>
            <w:lang w:eastAsia="it-IT"/>
            <w14:ligatures w14:val="none"/>
          </w:rPr>
          <w:t>Decreto Dipartimentale 2608</w:t>
        </w:r>
      </w:hyperlink>
      <w:r w:rsidRPr="00D44827">
        <w:rPr>
          <w:rFonts w:ascii="Arial" w:eastAsia="Times New Roman" w:hAnsi="Arial" w:cs="Arial"/>
          <w:color w:val="000000"/>
          <w:kern w:val="0"/>
          <w:sz w:val="21"/>
          <w:szCs w:val="21"/>
          <w:lang w:eastAsia="it-IT"/>
          <w14:ligatures w14:val="none"/>
        </w:rPr>
        <w:t> e i relativi </w:t>
      </w:r>
      <w:hyperlink r:id="rId9" w:tgtFrame="_blank" w:history="1">
        <w:r w:rsidRPr="00D44827">
          <w:rPr>
            <w:rFonts w:ascii="Arial" w:eastAsia="Times New Roman" w:hAnsi="Arial" w:cs="Arial"/>
            <w:color w:val="005EB3"/>
            <w:kern w:val="0"/>
            <w:sz w:val="21"/>
            <w:szCs w:val="21"/>
            <w:u w:val="single"/>
            <w:lang w:eastAsia="it-IT"/>
            <w14:ligatures w14:val="none"/>
          </w:rPr>
          <w:t>allegati</w:t>
        </w:r>
      </w:hyperlink>
      <w:r w:rsidRPr="00D44827">
        <w:rPr>
          <w:rFonts w:ascii="Arial" w:eastAsia="Times New Roman" w:hAnsi="Arial" w:cs="Arial"/>
          <w:color w:val="000000"/>
          <w:kern w:val="0"/>
          <w:sz w:val="21"/>
          <w:szCs w:val="21"/>
          <w:lang w:eastAsia="it-IT"/>
          <w14:ligatures w14:val="none"/>
        </w:rPr>
        <w:t> con il formulario definitivo di presentazione della candidatura da parte delle scuole)</w:t>
      </w:r>
    </w:p>
    <w:p w14:paraId="2735D43E" w14:textId="77777777"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b/>
          <w:bCs/>
          <w:color w:val="000000"/>
          <w:kern w:val="0"/>
          <w:sz w:val="21"/>
          <w:szCs w:val="21"/>
          <w:lang w:eastAsia="it-IT"/>
          <w14:ligatures w14:val="none"/>
        </w:rPr>
        <w:t>Sul piano del merito</w:t>
      </w:r>
      <w:r w:rsidRPr="00D44827">
        <w:rPr>
          <w:rFonts w:ascii="Arial" w:eastAsia="Times New Roman" w:hAnsi="Arial" w:cs="Arial"/>
          <w:color w:val="000000"/>
          <w:kern w:val="0"/>
          <w:sz w:val="21"/>
          <w:szCs w:val="21"/>
          <w:lang w:eastAsia="it-IT"/>
          <w14:ligatures w14:val="none"/>
        </w:rPr>
        <w:t>, pertanto, come puntualizzato direttamente dalla Segretaria generale della FLC CGIL nel corso della </w:t>
      </w:r>
      <w:hyperlink r:id="rId10" w:tgtFrame="_blank" w:history="1">
        <w:r w:rsidRPr="00D44827">
          <w:rPr>
            <w:rFonts w:ascii="Arial" w:eastAsia="Times New Roman" w:hAnsi="Arial" w:cs="Arial"/>
            <w:color w:val="005EB3"/>
            <w:kern w:val="0"/>
            <w:sz w:val="21"/>
            <w:szCs w:val="21"/>
            <w:u w:val="single"/>
            <w:lang w:eastAsia="it-IT"/>
            <w14:ligatures w14:val="none"/>
          </w:rPr>
          <w:t>audizione in Senato</w:t>
        </w:r>
      </w:hyperlink>
      <w:r w:rsidRPr="00D44827">
        <w:rPr>
          <w:rFonts w:ascii="Arial" w:eastAsia="Times New Roman" w:hAnsi="Arial" w:cs="Arial"/>
          <w:color w:val="000000"/>
          <w:kern w:val="0"/>
          <w:sz w:val="21"/>
          <w:szCs w:val="21"/>
          <w:lang w:eastAsia="it-IT"/>
          <w14:ligatures w14:val="none"/>
        </w:rPr>
        <w:t>, ribadiamo il nostro</w:t>
      </w:r>
      <w:r w:rsidRPr="00D44827">
        <w:rPr>
          <w:rFonts w:ascii="Arial" w:eastAsia="Times New Roman" w:hAnsi="Arial" w:cs="Arial"/>
          <w:b/>
          <w:bCs/>
          <w:color w:val="000000"/>
          <w:kern w:val="0"/>
          <w:sz w:val="21"/>
          <w:szCs w:val="21"/>
          <w:lang w:eastAsia="it-IT"/>
          <w14:ligatures w14:val="none"/>
        </w:rPr>
        <w:t> totale dissenso</w:t>
      </w:r>
      <w:r w:rsidRPr="00D44827">
        <w:rPr>
          <w:rFonts w:ascii="Arial" w:eastAsia="Times New Roman" w:hAnsi="Arial" w:cs="Arial"/>
          <w:color w:val="000000"/>
          <w:kern w:val="0"/>
          <w:sz w:val="21"/>
          <w:szCs w:val="21"/>
          <w:lang w:eastAsia="it-IT"/>
          <w14:ligatures w14:val="none"/>
        </w:rPr>
        <w:t> non solo nei confronti del Ddl 924, ma anche verso il progetto di sperimentazione anticipata della filiera formativa. Lo abbiamo affermato attraverso un </w:t>
      </w:r>
      <w:hyperlink r:id="rId11" w:tgtFrame="_blank" w:history="1">
        <w:r w:rsidRPr="00D44827">
          <w:rPr>
            <w:rFonts w:ascii="Arial" w:eastAsia="Times New Roman" w:hAnsi="Arial" w:cs="Arial"/>
            <w:color w:val="005EB3"/>
            <w:kern w:val="0"/>
            <w:sz w:val="21"/>
            <w:szCs w:val="21"/>
            <w:u w:val="single"/>
            <w:lang w:eastAsia="it-IT"/>
            <w14:ligatures w14:val="none"/>
          </w:rPr>
          <w:t xml:space="preserve">precedente </w:t>
        </w:r>
        <w:r w:rsidRPr="00D44827">
          <w:rPr>
            <w:rFonts w:ascii="Arial" w:eastAsia="Times New Roman" w:hAnsi="Arial" w:cs="Arial"/>
            <w:color w:val="005EB3"/>
            <w:kern w:val="0"/>
            <w:sz w:val="21"/>
            <w:szCs w:val="21"/>
            <w:u w:val="single"/>
            <w:lang w:eastAsia="it-IT"/>
            <w14:ligatures w14:val="none"/>
          </w:rPr>
          <w:t>c</w:t>
        </w:r>
        <w:r w:rsidRPr="00D44827">
          <w:rPr>
            <w:rFonts w:ascii="Arial" w:eastAsia="Times New Roman" w:hAnsi="Arial" w:cs="Arial"/>
            <w:color w:val="005EB3"/>
            <w:kern w:val="0"/>
            <w:sz w:val="21"/>
            <w:szCs w:val="21"/>
            <w:u w:val="single"/>
            <w:lang w:eastAsia="it-IT"/>
            <w14:ligatures w14:val="none"/>
          </w:rPr>
          <w:t>omunicato</w:t>
        </w:r>
      </w:hyperlink>
      <w:r w:rsidRPr="00D44827">
        <w:rPr>
          <w:rFonts w:ascii="Arial" w:eastAsia="Times New Roman" w:hAnsi="Arial" w:cs="Arial"/>
          <w:color w:val="000000"/>
          <w:kern w:val="0"/>
          <w:sz w:val="21"/>
          <w:szCs w:val="21"/>
          <w:lang w:eastAsia="it-IT"/>
          <w14:ligatures w14:val="none"/>
        </w:rPr>
        <w:t>,  diffuso insieme alla CGIL, oltre che attraverso </w:t>
      </w:r>
      <w:hyperlink r:id="rId12" w:tgtFrame="_blank" w:history="1">
        <w:r w:rsidRPr="00D44827">
          <w:rPr>
            <w:rFonts w:ascii="Arial" w:eastAsia="Times New Roman" w:hAnsi="Arial" w:cs="Arial"/>
            <w:color w:val="005EB3"/>
            <w:kern w:val="0"/>
            <w:sz w:val="21"/>
            <w:szCs w:val="21"/>
            <w:u w:val="single"/>
            <w:lang w:eastAsia="it-IT"/>
            <w14:ligatures w14:val="none"/>
          </w:rPr>
          <w:t>una recente diretta streaming</w:t>
        </w:r>
      </w:hyperlink>
      <w:r w:rsidRPr="00D44827">
        <w:rPr>
          <w:rFonts w:ascii="Arial" w:eastAsia="Times New Roman" w:hAnsi="Arial" w:cs="Arial"/>
          <w:color w:val="000000"/>
          <w:kern w:val="0"/>
          <w:sz w:val="21"/>
          <w:szCs w:val="21"/>
          <w:lang w:eastAsia="it-IT"/>
          <w14:ligatures w14:val="none"/>
        </w:rPr>
        <w:t> realizzata lo scorso 29 novembre.</w:t>
      </w:r>
    </w:p>
    <w:p w14:paraId="571C104F" w14:textId="77777777"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b/>
          <w:bCs/>
          <w:color w:val="000000"/>
          <w:kern w:val="0"/>
          <w:sz w:val="21"/>
          <w:szCs w:val="21"/>
          <w:lang w:eastAsia="it-IT"/>
          <w14:ligatures w14:val="none"/>
        </w:rPr>
        <w:t>Sul piano del metodo, invece, il DM 240/2023 complica ulteriormente il quadro politico sindacale</w:t>
      </w:r>
      <w:r w:rsidRPr="00D44827">
        <w:rPr>
          <w:rFonts w:ascii="Arial" w:eastAsia="Times New Roman" w:hAnsi="Arial" w:cs="Arial"/>
          <w:color w:val="000000"/>
          <w:kern w:val="0"/>
          <w:sz w:val="21"/>
          <w:szCs w:val="21"/>
          <w:lang w:eastAsia="it-IT"/>
          <w14:ligatures w14:val="none"/>
        </w:rPr>
        <w:t> a causa della decisione del Ministero di accelerare l’iter della sperimentazione. Infatti, mentre il 16 novembre alle organizzazioni sindacali è stato presentato </w:t>
      </w:r>
      <w:r w:rsidRPr="00D44827">
        <w:rPr>
          <w:rFonts w:ascii="Arial" w:eastAsia="Times New Roman" w:hAnsi="Arial" w:cs="Arial"/>
          <w:b/>
          <w:bCs/>
          <w:color w:val="000000"/>
          <w:kern w:val="0"/>
          <w:sz w:val="21"/>
          <w:szCs w:val="21"/>
          <w:lang w:eastAsia="it-IT"/>
          <w14:ligatures w14:val="none"/>
        </w:rPr>
        <w:t>un primo testo</w:t>
      </w:r>
      <w:r w:rsidRPr="00D44827">
        <w:rPr>
          <w:rFonts w:ascii="Arial" w:eastAsia="Times New Roman" w:hAnsi="Arial" w:cs="Arial"/>
          <w:color w:val="000000"/>
          <w:kern w:val="0"/>
          <w:sz w:val="21"/>
          <w:szCs w:val="21"/>
          <w:lang w:eastAsia="it-IT"/>
          <w14:ligatures w14:val="none"/>
        </w:rPr>
        <w:t> nel quale, correttamente, era assente ogni riferimento all’</w:t>
      </w:r>
      <w:proofErr w:type="spellStart"/>
      <w:r w:rsidRPr="00D44827">
        <w:rPr>
          <w:rFonts w:ascii="Arial" w:eastAsia="Times New Roman" w:hAnsi="Arial" w:cs="Arial"/>
          <w:color w:val="000000"/>
          <w:kern w:val="0"/>
          <w:sz w:val="21"/>
          <w:szCs w:val="21"/>
          <w:lang w:eastAsia="it-IT"/>
          <w14:ligatures w14:val="none"/>
        </w:rPr>
        <w:t>IeFP</w:t>
      </w:r>
      <w:proofErr w:type="spellEnd"/>
      <w:r w:rsidRPr="00D44827">
        <w:rPr>
          <w:rFonts w:ascii="Arial" w:eastAsia="Times New Roman" w:hAnsi="Arial" w:cs="Arial"/>
          <w:color w:val="000000"/>
          <w:kern w:val="0"/>
          <w:sz w:val="21"/>
          <w:szCs w:val="21"/>
          <w:lang w:eastAsia="it-IT"/>
          <w14:ligatures w14:val="none"/>
        </w:rPr>
        <w:t xml:space="preserve"> essendo le qualifiche e i diplomi professionali rilasciati dal sistema dell’</w:t>
      </w:r>
      <w:proofErr w:type="spellStart"/>
      <w:r w:rsidRPr="00D44827">
        <w:rPr>
          <w:rFonts w:ascii="Arial" w:eastAsia="Times New Roman" w:hAnsi="Arial" w:cs="Arial"/>
          <w:color w:val="000000"/>
          <w:kern w:val="0"/>
          <w:sz w:val="21"/>
          <w:szCs w:val="21"/>
          <w:lang w:eastAsia="it-IT"/>
          <w14:ligatures w14:val="none"/>
        </w:rPr>
        <w:t>IeFP</w:t>
      </w:r>
      <w:proofErr w:type="spellEnd"/>
      <w:r w:rsidRPr="00D44827">
        <w:rPr>
          <w:rFonts w:ascii="Arial" w:eastAsia="Times New Roman" w:hAnsi="Arial" w:cs="Arial"/>
          <w:color w:val="000000"/>
          <w:kern w:val="0"/>
          <w:sz w:val="21"/>
          <w:szCs w:val="21"/>
          <w:lang w:eastAsia="it-IT"/>
          <w14:ligatures w14:val="none"/>
        </w:rPr>
        <w:t xml:space="preserve"> di competenza esclusivamente regionale, </w:t>
      </w:r>
      <w:r w:rsidRPr="00D44827">
        <w:rPr>
          <w:rFonts w:ascii="Arial" w:eastAsia="Times New Roman" w:hAnsi="Arial" w:cs="Arial"/>
          <w:b/>
          <w:bCs/>
          <w:color w:val="000000"/>
          <w:kern w:val="0"/>
          <w:sz w:val="21"/>
          <w:szCs w:val="21"/>
          <w:lang w:eastAsia="it-IT"/>
          <w14:ligatures w14:val="none"/>
        </w:rPr>
        <w:t>successivamente, invece, viene presentato al Consiglio Superiore della Pubblica Istruzione (CSPI) un testo diverso</w:t>
      </w:r>
      <w:r w:rsidRPr="00D44827">
        <w:rPr>
          <w:rFonts w:ascii="Arial" w:eastAsia="Times New Roman" w:hAnsi="Arial" w:cs="Arial"/>
          <w:color w:val="000000"/>
          <w:kern w:val="0"/>
          <w:sz w:val="21"/>
          <w:szCs w:val="21"/>
          <w:lang w:eastAsia="it-IT"/>
          <w14:ligatures w14:val="none"/>
        </w:rPr>
        <w:t> dalla precedente versione perché </w:t>
      </w:r>
      <w:r w:rsidRPr="00D44827">
        <w:rPr>
          <w:rFonts w:ascii="Arial" w:eastAsia="Times New Roman" w:hAnsi="Arial" w:cs="Arial"/>
          <w:b/>
          <w:bCs/>
          <w:color w:val="000000"/>
          <w:kern w:val="0"/>
          <w:sz w:val="21"/>
          <w:szCs w:val="21"/>
          <w:lang w:eastAsia="it-IT"/>
          <w14:ligatures w14:val="none"/>
        </w:rPr>
        <w:t>integrato da una serie di emendamenti apportati proprio dalle Regioni</w:t>
      </w:r>
      <w:r w:rsidRPr="00D44827">
        <w:rPr>
          <w:rFonts w:ascii="Arial" w:eastAsia="Times New Roman" w:hAnsi="Arial" w:cs="Arial"/>
          <w:color w:val="000000"/>
          <w:kern w:val="0"/>
          <w:sz w:val="21"/>
          <w:szCs w:val="21"/>
          <w:lang w:eastAsia="it-IT"/>
          <w14:ligatures w14:val="none"/>
        </w:rPr>
        <w:t>, il cui contenuto </w:t>
      </w:r>
      <w:r w:rsidRPr="00D44827">
        <w:rPr>
          <w:rFonts w:ascii="Arial" w:eastAsia="Times New Roman" w:hAnsi="Arial" w:cs="Arial"/>
          <w:b/>
          <w:bCs/>
          <w:color w:val="000000"/>
          <w:kern w:val="0"/>
          <w:sz w:val="21"/>
          <w:szCs w:val="21"/>
          <w:lang w:eastAsia="it-IT"/>
          <w14:ligatures w14:val="none"/>
        </w:rPr>
        <w:t>non è mai stato comunicato alle organizzazioni sindacali</w:t>
      </w:r>
      <w:r w:rsidRPr="00D44827">
        <w:rPr>
          <w:rFonts w:ascii="Arial" w:eastAsia="Times New Roman" w:hAnsi="Arial" w:cs="Arial"/>
          <w:color w:val="000000"/>
          <w:kern w:val="0"/>
          <w:sz w:val="21"/>
          <w:szCs w:val="21"/>
          <w:lang w:eastAsia="it-IT"/>
          <w14:ligatures w14:val="none"/>
        </w:rPr>
        <w:t>. Rispetto all’intero provvedimento, in ogni caso,</w:t>
      </w:r>
      <w:r w:rsidRPr="00D44827">
        <w:rPr>
          <w:rFonts w:ascii="Arial" w:eastAsia="Times New Roman" w:hAnsi="Arial" w:cs="Arial"/>
          <w:b/>
          <w:bCs/>
          <w:color w:val="000000"/>
          <w:kern w:val="0"/>
          <w:sz w:val="21"/>
          <w:szCs w:val="21"/>
          <w:lang w:eastAsia="it-IT"/>
          <w14:ligatures w14:val="none"/>
        </w:rPr>
        <w:t> il CSPI, nella seduta plenaria 116 del 04/12/2023, </w:t>
      </w:r>
      <w:hyperlink r:id="rId13" w:tgtFrame="_blank" w:history="1">
        <w:r w:rsidRPr="00D44827">
          <w:rPr>
            <w:rFonts w:ascii="Arial" w:eastAsia="Times New Roman" w:hAnsi="Arial" w:cs="Arial"/>
            <w:b/>
            <w:bCs/>
            <w:color w:val="005EB3"/>
            <w:kern w:val="0"/>
            <w:sz w:val="21"/>
            <w:szCs w:val="21"/>
            <w:lang w:eastAsia="it-IT"/>
            <w14:ligatures w14:val="none"/>
          </w:rPr>
          <w:t>ha espresso parere negativo </w:t>
        </w:r>
      </w:hyperlink>
      <w:r w:rsidRPr="00D44827">
        <w:rPr>
          <w:rFonts w:ascii="Arial" w:eastAsia="Times New Roman" w:hAnsi="Arial" w:cs="Arial"/>
          <w:b/>
          <w:bCs/>
          <w:color w:val="000000"/>
          <w:kern w:val="0"/>
          <w:sz w:val="21"/>
          <w:szCs w:val="21"/>
          <w:lang w:eastAsia="it-IT"/>
          <w14:ligatures w14:val="none"/>
        </w:rPr>
        <w:t> al DM 240/2023 e alla relativa proposta di sperimentazione</w:t>
      </w:r>
      <w:r w:rsidRPr="00D44827">
        <w:rPr>
          <w:rFonts w:ascii="Arial" w:eastAsia="Times New Roman" w:hAnsi="Arial" w:cs="Arial"/>
          <w:color w:val="000000"/>
          <w:kern w:val="0"/>
          <w:sz w:val="21"/>
          <w:szCs w:val="21"/>
          <w:lang w:eastAsia="it-IT"/>
          <w14:ligatures w14:val="none"/>
        </w:rPr>
        <w:t>.</w:t>
      </w:r>
    </w:p>
    <w:p w14:paraId="6AAA92F8" w14:textId="77777777"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color w:val="000000"/>
          <w:kern w:val="0"/>
          <w:sz w:val="21"/>
          <w:szCs w:val="21"/>
          <w:lang w:eastAsia="it-IT"/>
          <w14:ligatures w14:val="none"/>
        </w:rPr>
        <w:t>Da ultimo: il testo definitivo del DM in questione</w:t>
      </w:r>
      <w:r w:rsidRPr="00D44827">
        <w:rPr>
          <w:rFonts w:ascii="Arial" w:eastAsia="Times New Roman" w:hAnsi="Arial" w:cs="Arial"/>
          <w:b/>
          <w:bCs/>
          <w:color w:val="000000"/>
          <w:kern w:val="0"/>
          <w:sz w:val="21"/>
          <w:szCs w:val="21"/>
          <w:lang w:eastAsia="it-IT"/>
          <w14:ligatures w14:val="none"/>
        </w:rPr>
        <w:t> genera più di qualche perplessità anche per quanto attiene il profilo istituzionale</w:t>
      </w:r>
      <w:r w:rsidRPr="00D44827">
        <w:rPr>
          <w:rFonts w:ascii="Arial" w:eastAsia="Times New Roman" w:hAnsi="Arial" w:cs="Arial"/>
          <w:color w:val="000000"/>
          <w:kern w:val="0"/>
          <w:sz w:val="21"/>
          <w:szCs w:val="21"/>
          <w:lang w:eastAsia="it-IT"/>
          <w14:ligatures w14:val="none"/>
        </w:rPr>
        <w:t>. Qui non si configura più solo un vulnus sul piano delle relazioni sindacali, bensì, </w:t>
      </w:r>
      <w:r w:rsidRPr="00D44827">
        <w:rPr>
          <w:rFonts w:ascii="Arial" w:eastAsia="Times New Roman" w:hAnsi="Arial" w:cs="Arial"/>
          <w:b/>
          <w:bCs/>
          <w:color w:val="000000"/>
          <w:kern w:val="0"/>
          <w:sz w:val="21"/>
          <w:szCs w:val="21"/>
          <w:lang w:eastAsia="it-IT"/>
          <w14:ligatures w14:val="none"/>
        </w:rPr>
        <w:t>uno svilimento del Parlamento </w:t>
      </w:r>
      <w:r w:rsidRPr="00D44827">
        <w:rPr>
          <w:rFonts w:ascii="Arial" w:eastAsia="Times New Roman" w:hAnsi="Arial" w:cs="Arial"/>
          <w:color w:val="000000"/>
          <w:kern w:val="0"/>
          <w:sz w:val="21"/>
          <w:szCs w:val="21"/>
          <w:lang w:eastAsia="it-IT"/>
          <w14:ligatures w14:val="none"/>
        </w:rPr>
        <w:t>visto che ora, </w:t>
      </w:r>
      <w:r w:rsidRPr="00D44827">
        <w:rPr>
          <w:rFonts w:ascii="Arial" w:eastAsia="Times New Roman" w:hAnsi="Arial" w:cs="Arial"/>
          <w:b/>
          <w:bCs/>
          <w:color w:val="000000"/>
          <w:kern w:val="0"/>
          <w:sz w:val="21"/>
          <w:szCs w:val="21"/>
          <w:lang w:eastAsia="it-IT"/>
          <w14:ligatures w14:val="none"/>
        </w:rPr>
        <w:t xml:space="preserve">con l’accoglimento di tutti gli emendamenti delle regioni e il recupero della </w:t>
      </w:r>
      <w:proofErr w:type="spellStart"/>
      <w:r w:rsidRPr="00D44827">
        <w:rPr>
          <w:rFonts w:ascii="Arial" w:eastAsia="Times New Roman" w:hAnsi="Arial" w:cs="Arial"/>
          <w:b/>
          <w:bCs/>
          <w:color w:val="000000"/>
          <w:kern w:val="0"/>
          <w:sz w:val="21"/>
          <w:szCs w:val="21"/>
          <w:lang w:eastAsia="it-IT"/>
          <w14:ligatures w14:val="none"/>
        </w:rPr>
        <w:t>IeFP</w:t>
      </w:r>
      <w:proofErr w:type="spellEnd"/>
      <w:r w:rsidRPr="00D44827">
        <w:rPr>
          <w:rFonts w:ascii="Arial" w:eastAsia="Times New Roman" w:hAnsi="Arial" w:cs="Arial"/>
          <w:b/>
          <w:bCs/>
          <w:color w:val="000000"/>
          <w:kern w:val="0"/>
          <w:sz w:val="21"/>
          <w:szCs w:val="21"/>
          <w:lang w:eastAsia="it-IT"/>
          <w14:ligatures w14:val="none"/>
        </w:rPr>
        <w:t xml:space="preserve"> e dei CFP,  il contenuto della sperimentazione della filiera formativa tecnologico-professionale anticipa integralmente il contenuto del Ddl 924 su cui è appena partito il democratico iter parlamentare</w:t>
      </w:r>
      <w:r w:rsidRPr="00D44827">
        <w:rPr>
          <w:rFonts w:ascii="Arial" w:eastAsia="Times New Roman" w:hAnsi="Arial" w:cs="Arial"/>
          <w:color w:val="000000"/>
          <w:kern w:val="0"/>
          <w:sz w:val="21"/>
          <w:szCs w:val="21"/>
          <w:lang w:eastAsia="it-IT"/>
          <w14:ligatures w14:val="none"/>
        </w:rPr>
        <w:t> che, in linea teorica, potrebbe modificare, se non addirittura stravolgere, il testo del Ddl.</w:t>
      </w:r>
    </w:p>
    <w:p w14:paraId="2CD51FFE" w14:textId="77777777"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color w:val="000000"/>
          <w:kern w:val="0"/>
          <w:sz w:val="21"/>
          <w:szCs w:val="21"/>
          <w:lang w:eastAsia="it-IT"/>
          <w14:ligatures w14:val="none"/>
        </w:rPr>
        <w:t>Rispetto all’organizzazione del sistema di istruzione e formazione, infine, appare estremamente grave avviare la sperimentazione dei quadriennali dall’anno scolastico 2024-2025 dal momento che le iscrizioni scadranno entro i primi giorni di febbraio 2024, con la </w:t>
      </w:r>
      <w:r w:rsidRPr="00D44827">
        <w:rPr>
          <w:rFonts w:ascii="Arial" w:eastAsia="Times New Roman" w:hAnsi="Arial" w:cs="Arial"/>
          <w:b/>
          <w:bCs/>
          <w:color w:val="000000"/>
          <w:kern w:val="0"/>
          <w:sz w:val="21"/>
          <w:szCs w:val="21"/>
          <w:lang w:eastAsia="it-IT"/>
          <w14:ligatures w14:val="none"/>
        </w:rPr>
        <w:t>conseguenza di forzare la scelta di famiglie e alunni verso iscrizioni al buio</w:t>
      </w:r>
      <w:r w:rsidRPr="00D44827">
        <w:rPr>
          <w:rFonts w:ascii="Arial" w:eastAsia="Times New Roman" w:hAnsi="Arial" w:cs="Arial"/>
          <w:color w:val="000000"/>
          <w:kern w:val="0"/>
          <w:sz w:val="21"/>
          <w:szCs w:val="21"/>
          <w:lang w:eastAsia="it-IT"/>
          <w14:ligatures w14:val="none"/>
        </w:rPr>
        <w:t>. Per questi motivi sarà utile che le istituzioni scolastiche non avallino una sperimentazione improvvisata e motivata dall’unico intento di piantare una bandiera ideologica e anticipare il disegno di riforma complessiva della scuola secondaria senza che gli organi deputati (il Parlamento) abbiano la possibilità anche solo di discuterne. Infine, auspichiamo che si</w:t>
      </w:r>
      <w:r w:rsidRPr="00D44827">
        <w:rPr>
          <w:rFonts w:ascii="Arial" w:eastAsia="Times New Roman" w:hAnsi="Arial" w:cs="Arial"/>
          <w:b/>
          <w:bCs/>
          <w:color w:val="000000"/>
          <w:kern w:val="0"/>
          <w:sz w:val="21"/>
          <w:szCs w:val="21"/>
          <w:lang w:eastAsia="it-IT"/>
          <w14:ligatures w14:val="none"/>
        </w:rPr>
        <w:t> intervenga per fare chiarezza riguardo alla pasticciata situazione che si sta venendo a determinare con la pubblicazione del DM 240.</w:t>
      </w:r>
    </w:p>
    <w:p w14:paraId="37C9FB27" w14:textId="76B4C118" w:rsidR="00D44827" w:rsidRPr="00D44827" w:rsidRDefault="00D44827" w:rsidP="00D4482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44827">
        <w:rPr>
          <w:rFonts w:ascii="Arial" w:eastAsia="Times New Roman" w:hAnsi="Arial" w:cs="Arial"/>
          <w:color w:val="000000"/>
          <w:kern w:val="0"/>
          <w:sz w:val="21"/>
          <w:szCs w:val="21"/>
          <w:lang w:eastAsia="it-IT"/>
          <w14:ligatures w14:val="none"/>
        </w:rPr>
        <w:t>Ribadiamo la gravità di un </w:t>
      </w:r>
      <w:r w:rsidRPr="00D44827">
        <w:rPr>
          <w:rFonts w:ascii="Arial" w:eastAsia="Times New Roman" w:hAnsi="Arial" w:cs="Arial"/>
          <w:b/>
          <w:bCs/>
          <w:color w:val="000000"/>
          <w:kern w:val="0"/>
          <w:sz w:val="21"/>
          <w:szCs w:val="21"/>
          <w:lang w:eastAsia="it-IT"/>
          <w14:ligatures w14:val="none"/>
        </w:rPr>
        <w:t>provvedimento che modifica l’impianto complessivo della scuola secondaria</w:t>
      </w:r>
      <w:r w:rsidRPr="00D44827">
        <w:rPr>
          <w:rFonts w:ascii="Arial" w:eastAsia="Times New Roman" w:hAnsi="Arial" w:cs="Arial"/>
          <w:color w:val="000000"/>
          <w:kern w:val="0"/>
          <w:sz w:val="21"/>
          <w:szCs w:val="21"/>
          <w:lang w:eastAsia="it-IT"/>
          <w14:ligatures w14:val="none"/>
        </w:rPr>
        <w:t>, coinvolta per intero nella sperimentazione, a partire dalla pesante </w:t>
      </w:r>
      <w:r w:rsidRPr="00D44827">
        <w:rPr>
          <w:rFonts w:ascii="Arial" w:eastAsia="Times New Roman" w:hAnsi="Arial" w:cs="Arial"/>
          <w:b/>
          <w:bCs/>
          <w:color w:val="000000"/>
          <w:kern w:val="0"/>
          <w:sz w:val="21"/>
          <w:szCs w:val="21"/>
          <w:lang w:eastAsia="it-IT"/>
          <w14:ligatures w14:val="none"/>
        </w:rPr>
        <w:t>ingerenza dei soggetti privati esterni</w:t>
      </w:r>
      <w:r w:rsidRPr="00D44827">
        <w:rPr>
          <w:rFonts w:ascii="Arial" w:eastAsia="Times New Roman" w:hAnsi="Arial" w:cs="Arial"/>
          <w:color w:val="000000"/>
          <w:kern w:val="0"/>
          <w:sz w:val="21"/>
          <w:szCs w:val="21"/>
          <w:lang w:eastAsia="it-IT"/>
          <w14:ligatures w14:val="none"/>
        </w:rPr>
        <w:t> nelle attività di coprogettazione dell’offerta formativa (</w:t>
      </w:r>
      <w:r w:rsidRPr="00D44827">
        <w:rPr>
          <w:rFonts w:ascii="Arial" w:eastAsia="Times New Roman" w:hAnsi="Arial" w:cs="Arial"/>
          <w:b/>
          <w:bCs/>
          <w:color w:val="000000"/>
          <w:kern w:val="0"/>
          <w:sz w:val="21"/>
          <w:szCs w:val="21"/>
          <w:lang w:eastAsia="it-IT"/>
          <w14:ligatures w14:val="none"/>
        </w:rPr>
        <w:t>gestione del PTOF, organici, valutazione</w:t>
      </w:r>
      <w:r w:rsidRPr="00D44827">
        <w:rPr>
          <w:rFonts w:ascii="Arial" w:eastAsia="Times New Roman" w:hAnsi="Arial" w:cs="Arial"/>
          <w:color w:val="000000"/>
          <w:kern w:val="0"/>
          <w:sz w:val="21"/>
          <w:szCs w:val="21"/>
          <w:lang w:eastAsia="it-IT"/>
          <w14:ligatures w14:val="none"/>
        </w:rPr>
        <w:t>…), compromettendo l’uniformità delle caratteristiche ordinamentali a livello nazionale con </w:t>
      </w:r>
      <w:r w:rsidRPr="00D44827">
        <w:rPr>
          <w:rFonts w:ascii="Arial" w:eastAsia="Times New Roman" w:hAnsi="Arial" w:cs="Arial"/>
          <w:b/>
          <w:bCs/>
          <w:color w:val="000000"/>
          <w:kern w:val="0"/>
          <w:sz w:val="21"/>
          <w:szCs w:val="21"/>
          <w:lang w:eastAsia="it-IT"/>
          <w14:ligatures w14:val="none"/>
        </w:rPr>
        <w:t>una vera e propria frammentazione del curricolo progettato su base locale</w:t>
      </w:r>
      <w:r w:rsidRPr="00D44827">
        <w:rPr>
          <w:rFonts w:ascii="Arial" w:eastAsia="Times New Roman" w:hAnsi="Arial" w:cs="Arial"/>
          <w:color w:val="000000"/>
          <w:kern w:val="0"/>
          <w:sz w:val="21"/>
          <w:szCs w:val="21"/>
          <w:lang w:eastAsia="it-IT"/>
          <w14:ligatures w14:val="none"/>
        </w:rPr>
        <w:t>. La sperimentazione rafforza </w:t>
      </w:r>
      <w:r w:rsidRPr="00D44827">
        <w:rPr>
          <w:rFonts w:ascii="Arial" w:eastAsia="Times New Roman" w:hAnsi="Arial" w:cs="Arial"/>
          <w:b/>
          <w:bCs/>
          <w:color w:val="000000"/>
          <w:kern w:val="0"/>
          <w:sz w:val="21"/>
          <w:szCs w:val="21"/>
          <w:lang w:eastAsia="it-IT"/>
          <w14:ligatures w14:val="none"/>
        </w:rPr>
        <w:t>una torsione in senso lavoristico del sistema formativo e conferma la necessità di soddisfare i bisogni formativi delle imprese</w:t>
      </w:r>
      <w:r w:rsidRPr="00D44827">
        <w:rPr>
          <w:rFonts w:ascii="Arial" w:eastAsia="Times New Roman" w:hAnsi="Arial" w:cs="Arial"/>
          <w:color w:val="000000"/>
          <w:kern w:val="0"/>
          <w:sz w:val="21"/>
          <w:szCs w:val="21"/>
          <w:lang w:eastAsia="it-IT"/>
          <w14:ligatures w14:val="none"/>
        </w:rPr>
        <w:t>, sempre con lo sguardo rivolto ai </w:t>
      </w:r>
      <w:r w:rsidRPr="00D44827">
        <w:rPr>
          <w:rFonts w:ascii="Arial" w:eastAsia="Times New Roman" w:hAnsi="Arial" w:cs="Arial"/>
          <w:b/>
          <w:bCs/>
          <w:color w:val="000000"/>
          <w:kern w:val="0"/>
          <w:sz w:val="21"/>
          <w:szCs w:val="21"/>
          <w:lang w:eastAsia="it-IT"/>
          <w14:ligatures w14:val="none"/>
        </w:rPr>
        <w:t>PCTO</w:t>
      </w:r>
      <w:r w:rsidRPr="00D44827">
        <w:rPr>
          <w:rFonts w:ascii="Arial" w:eastAsia="Times New Roman" w:hAnsi="Arial" w:cs="Arial"/>
          <w:color w:val="000000"/>
          <w:kern w:val="0"/>
          <w:sz w:val="21"/>
          <w:szCs w:val="21"/>
          <w:lang w:eastAsia="it-IT"/>
          <w14:ligatures w14:val="none"/>
        </w:rPr>
        <w:t> e all’</w:t>
      </w:r>
      <w:r w:rsidRPr="00D44827">
        <w:rPr>
          <w:rFonts w:ascii="Arial" w:eastAsia="Times New Roman" w:hAnsi="Arial" w:cs="Arial"/>
          <w:b/>
          <w:bCs/>
          <w:color w:val="000000"/>
          <w:kern w:val="0"/>
          <w:sz w:val="21"/>
          <w:szCs w:val="21"/>
          <w:lang w:eastAsia="it-IT"/>
          <w14:ligatures w14:val="none"/>
        </w:rPr>
        <w:t>avviamento lavorativo</w:t>
      </w:r>
      <w:r w:rsidRPr="00D44827">
        <w:rPr>
          <w:rFonts w:ascii="Arial" w:eastAsia="Times New Roman" w:hAnsi="Arial" w:cs="Arial"/>
          <w:color w:val="000000"/>
          <w:kern w:val="0"/>
          <w:sz w:val="21"/>
          <w:szCs w:val="21"/>
          <w:lang w:eastAsia="it-IT"/>
          <w14:ligatures w14:val="none"/>
        </w:rPr>
        <w:t>. Forti preoccupazioni sorgono rispetto al tema degli </w:t>
      </w:r>
      <w:r w:rsidRPr="00D44827">
        <w:rPr>
          <w:rFonts w:ascii="Arial" w:eastAsia="Times New Roman" w:hAnsi="Arial" w:cs="Arial"/>
          <w:b/>
          <w:bCs/>
          <w:color w:val="000000"/>
          <w:kern w:val="0"/>
          <w:sz w:val="21"/>
          <w:szCs w:val="21"/>
          <w:lang w:eastAsia="it-IT"/>
          <w14:ligatures w14:val="none"/>
        </w:rPr>
        <w:t>organici</w:t>
      </w:r>
      <w:r w:rsidRPr="00D44827">
        <w:rPr>
          <w:rFonts w:ascii="Arial" w:eastAsia="Times New Roman" w:hAnsi="Arial" w:cs="Arial"/>
          <w:color w:val="000000"/>
          <w:kern w:val="0"/>
          <w:sz w:val="21"/>
          <w:szCs w:val="21"/>
          <w:lang w:eastAsia="it-IT"/>
          <w14:ligatures w14:val="none"/>
        </w:rPr>
        <w:t> e dell’</w:t>
      </w:r>
      <w:r w:rsidRPr="00D44827">
        <w:rPr>
          <w:rFonts w:ascii="Arial" w:eastAsia="Times New Roman" w:hAnsi="Arial" w:cs="Arial"/>
          <w:b/>
          <w:bCs/>
          <w:color w:val="000000"/>
          <w:kern w:val="0"/>
          <w:sz w:val="21"/>
          <w:szCs w:val="21"/>
          <w:lang w:eastAsia="it-IT"/>
          <w14:ligatures w14:val="none"/>
        </w:rPr>
        <w:t>impatto complessivo di questa sperimentazione sull’intero sistema ordinamentale</w:t>
      </w:r>
      <w:r w:rsidRPr="00D44827">
        <w:rPr>
          <w:rFonts w:ascii="Arial" w:eastAsia="Times New Roman" w:hAnsi="Arial" w:cs="Arial"/>
          <w:color w:val="000000"/>
          <w:kern w:val="0"/>
          <w:sz w:val="21"/>
          <w:szCs w:val="21"/>
          <w:lang w:eastAsia="it-IT"/>
          <w14:ligatures w14:val="none"/>
        </w:rPr>
        <w:t xml:space="preserve">, già attraversato nell’arco di pochi mesi </w:t>
      </w:r>
      <w:r w:rsidRPr="00D44827">
        <w:rPr>
          <w:rFonts w:ascii="Arial" w:eastAsia="Times New Roman" w:hAnsi="Arial" w:cs="Arial"/>
          <w:color w:val="000000"/>
          <w:kern w:val="0"/>
          <w:sz w:val="21"/>
          <w:szCs w:val="21"/>
          <w:lang w:eastAsia="it-IT"/>
          <w14:ligatures w14:val="none"/>
        </w:rPr>
        <w:lastRenderedPageBreak/>
        <w:t>da profondi cambiamenti</w:t>
      </w:r>
      <w:r w:rsidRPr="00D44827">
        <w:rPr>
          <w:rFonts w:ascii="Arial" w:eastAsia="Times New Roman" w:hAnsi="Arial" w:cs="Arial"/>
          <w:b/>
          <w:bCs/>
          <w:color w:val="000000"/>
          <w:kern w:val="0"/>
          <w:sz w:val="21"/>
          <w:szCs w:val="21"/>
          <w:lang w:eastAsia="it-IT"/>
          <w14:ligatures w14:val="none"/>
        </w:rPr>
        <w:t>. La FLC CGIL proseguirà nella mobilitazione già avviata a tutela del ruolo disegnato per il sistema di istruzione e formazione dalla Costituzione repubblicana.</w:t>
      </w:r>
    </w:p>
    <w:p w14:paraId="2DF6F332" w14:textId="5AB4D4DE" w:rsidR="00F277D7" w:rsidRPr="00F277D7" w:rsidRDefault="00F277D7" w:rsidP="00F277D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F277D7">
        <w:rPr>
          <w:rFonts w:ascii="Tahoma" w:eastAsia="Times New Roman" w:hAnsi="Tahoma" w:cs="Tahoma"/>
          <w:color w:val="DC3B33"/>
          <w:kern w:val="36"/>
          <w:sz w:val="45"/>
          <w:szCs w:val="45"/>
          <w:lang w:eastAsia="it-IT"/>
          <w14:ligatures w14:val="none"/>
        </w:rPr>
        <w:t>Confronto al MIM sulle Linee Triennali di indirizzo per la formazione del personale scolastico (2023- 2025)</w:t>
      </w:r>
    </w:p>
    <w:p w14:paraId="75DC9842" w14:textId="77777777" w:rsidR="00F277D7" w:rsidRPr="00F277D7" w:rsidRDefault="00F277D7" w:rsidP="00F277D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F277D7">
        <w:rPr>
          <w:rFonts w:ascii="Arial" w:eastAsia="Times New Roman" w:hAnsi="Arial" w:cs="Arial"/>
          <w:color w:val="535353"/>
          <w:kern w:val="0"/>
          <w:sz w:val="27"/>
          <w:szCs w:val="27"/>
          <w:lang w:eastAsia="it-IT"/>
          <w14:ligatures w14:val="none"/>
        </w:rPr>
        <w:t>Occorre fermare i provvedimenti attuativi del DL 36/2022 sulla formazione continua ed incentivata dei docenti. Urgente un confronto politico con il Ministro per ripristinare il ruolo del CCNL su prestazione lavorativa e compensi</w:t>
      </w:r>
    </w:p>
    <w:p w14:paraId="61240A34" w14:textId="77777777" w:rsidR="00F277D7" w:rsidRDefault="00F277D7" w:rsidP="00F277D7">
      <w:pPr>
        <w:shd w:val="clear" w:color="auto" w:fill="FFFFFF"/>
        <w:spacing w:after="0" w:line="240" w:lineRule="auto"/>
        <w:rPr>
          <w:rFonts w:ascii="Arial" w:eastAsia="Times New Roman" w:hAnsi="Arial" w:cs="Arial"/>
          <w:color w:val="4D4D4D"/>
          <w:kern w:val="0"/>
          <w:sz w:val="21"/>
          <w:szCs w:val="21"/>
          <w:lang w:eastAsia="it-IT"/>
          <w14:ligatures w14:val="none"/>
        </w:rPr>
      </w:pPr>
      <w:r w:rsidRPr="00F277D7">
        <w:rPr>
          <w:rFonts w:ascii="Arial" w:eastAsia="Times New Roman" w:hAnsi="Arial" w:cs="Arial"/>
          <w:b/>
          <w:bCs/>
          <w:color w:val="4D4D4D"/>
          <w:kern w:val="0"/>
          <w:sz w:val="21"/>
          <w:szCs w:val="21"/>
          <w:lang w:eastAsia="it-IT"/>
          <w14:ligatures w14:val="none"/>
        </w:rPr>
        <w:t>14/12/2023</w:t>
      </w:r>
    </w:p>
    <w:p w14:paraId="5D34B17C" w14:textId="77777777" w:rsidR="00F277D7" w:rsidRDefault="00F277D7" w:rsidP="00F277D7">
      <w:pPr>
        <w:shd w:val="clear" w:color="auto" w:fill="FFFFFF"/>
        <w:spacing w:after="0" w:line="240" w:lineRule="auto"/>
        <w:rPr>
          <w:rFonts w:ascii="Arial" w:eastAsia="Times New Roman" w:hAnsi="Arial" w:cs="Arial"/>
          <w:color w:val="4D4D4D"/>
          <w:kern w:val="0"/>
          <w:sz w:val="21"/>
          <w:szCs w:val="21"/>
          <w:lang w:eastAsia="it-IT"/>
          <w14:ligatures w14:val="none"/>
        </w:rPr>
      </w:pPr>
    </w:p>
    <w:p w14:paraId="0CF02274" w14:textId="3EA864ED" w:rsidR="00F277D7" w:rsidRPr="00F277D7" w:rsidRDefault="00F277D7" w:rsidP="00F277D7">
      <w:pPr>
        <w:shd w:val="clear" w:color="auto" w:fill="FFFFFF"/>
        <w:spacing w:after="0" w:line="240" w:lineRule="auto"/>
        <w:rPr>
          <w:rFonts w:ascii="Arial" w:eastAsia="Times New Roman" w:hAnsi="Arial" w:cs="Arial"/>
          <w:color w:val="4D4D4D"/>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Si è svolto oggi14 dicembre 2023 il tavolo di confronto sulle </w:t>
      </w:r>
      <w:r w:rsidRPr="00F277D7">
        <w:rPr>
          <w:rFonts w:ascii="Arial" w:eastAsia="Times New Roman" w:hAnsi="Arial" w:cs="Arial"/>
          <w:b/>
          <w:bCs/>
          <w:color w:val="000000"/>
          <w:kern w:val="0"/>
          <w:sz w:val="21"/>
          <w:szCs w:val="21"/>
          <w:lang w:eastAsia="it-IT"/>
          <w14:ligatures w14:val="none"/>
        </w:rPr>
        <w:t>linee triennali di indirizzo per la formazione del personale scolastico</w:t>
      </w:r>
      <w:r w:rsidRPr="00F277D7">
        <w:rPr>
          <w:rFonts w:ascii="Arial" w:eastAsia="Times New Roman" w:hAnsi="Arial" w:cs="Arial"/>
          <w:color w:val="000000"/>
          <w:kern w:val="0"/>
          <w:sz w:val="21"/>
          <w:szCs w:val="21"/>
          <w:lang w:eastAsia="it-IT"/>
          <w14:ligatures w14:val="none"/>
        </w:rPr>
        <w:t>, richiesto dalla FLC CGIL in occasione del primo incontro di informativa tenutosi il 12 dicembre scorso.</w:t>
      </w:r>
    </w:p>
    <w:p w14:paraId="736684BE"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Il Ministero, rappresentato dal Capo Dipartimento Istruzione dott.ssa Carmela Palumbo, ha in apertura della riunione manifestato la disponibilità dell’amministrazione ad accogliere suggerimenti e correttivi provenienti dalle organizzazioni sindacali finalizzati a migliorare i provvedimenti oggetto del confronto.</w:t>
      </w:r>
    </w:p>
    <w:p w14:paraId="3EFF6D9A"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Per la FLC è intervenuta la Segreteria Generale, Gianna Fracassi che ha evidenziato innanzitutto i </w:t>
      </w:r>
      <w:r w:rsidRPr="00F277D7">
        <w:rPr>
          <w:rFonts w:ascii="Arial" w:eastAsia="Times New Roman" w:hAnsi="Arial" w:cs="Arial"/>
          <w:b/>
          <w:bCs/>
          <w:color w:val="000000"/>
          <w:kern w:val="0"/>
          <w:sz w:val="21"/>
          <w:szCs w:val="21"/>
          <w:lang w:eastAsia="it-IT"/>
          <w14:ligatures w14:val="none"/>
        </w:rPr>
        <w:t>problemi enormi che tali linee pongono nel rapporto fra sistema formativo e contratto</w:t>
      </w:r>
      <w:r w:rsidRPr="00F277D7">
        <w:rPr>
          <w:rFonts w:ascii="Arial" w:eastAsia="Times New Roman" w:hAnsi="Arial" w:cs="Arial"/>
          <w:color w:val="000000"/>
          <w:kern w:val="0"/>
          <w:sz w:val="21"/>
          <w:szCs w:val="21"/>
          <w:lang w:eastAsia="it-IT"/>
          <w14:ligatures w14:val="none"/>
        </w:rPr>
        <w:t>. Infatti, il CCNL ha delle prerogative stringenti che non possono essere ignorate dalla Scuola di Alta Formazione dell’Istruzione (SAFI) come invece vengono prefigurati dalle linee di indirizzo che aprono un problema assai serio sugli sviluppi di carriera professionale docente bypassando del tutto il CCNL che non avrebbe nessuna voce in capitolo.</w:t>
      </w:r>
    </w:p>
    <w:p w14:paraId="681C7B18"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C’è poi un problema che non può essere ignorato. Anzi, va considerato e messo sotto attenzione: il nuovo CCNL impone il pagamento delle ore di formazione effettuate oltre le 80 ore. È </w:t>
      </w:r>
      <w:r w:rsidRPr="00F277D7">
        <w:rPr>
          <w:rFonts w:ascii="Arial" w:eastAsia="Times New Roman" w:hAnsi="Arial" w:cs="Arial"/>
          <w:b/>
          <w:bCs/>
          <w:color w:val="000000"/>
          <w:kern w:val="0"/>
          <w:sz w:val="21"/>
          <w:szCs w:val="21"/>
          <w:lang w:eastAsia="it-IT"/>
          <w14:ligatures w14:val="none"/>
        </w:rPr>
        <w:t>necessario pertanto l’incremento del FMOF</w:t>
      </w:r>
      <w:r w:rsidRPr="00F277D7">
        <w:rPr>
          <w:rFonts w:ascii="Arial" w:eastAsia="Times New Roman" w:hAnsi="Arial" w:cs="Arial"/>
          <w:color w:val="000000"/>
          <w:kern w:val="0"/>
          <w:sz w:val="21"/>
          <w:szCs w:val="21"/>
          <w:lang w:eastAsia="it-IT"/>
          <w14:ligatures w14:val="none"/>
        </w:rPr>
        <w:t> ormai divenuto incapiente, non più in condizione di riconoscere le attività aggiuntive ordinarie e pertanto del tutto inadeguato per far fronte alle ore di formazione del personale.</w:t>
      </w:r>
    </w:p>
    <w:p w14:paraId="27AB32DE"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L’autonomia scolastica viene più volte citata nella sua dimensione organizzativa e didattica, specie nella sezione dedicata ai dirigenti scolastici, mentre appare del tutto assente la terza dimensione dell’autonomia, quella della ricerca, sperimentazione e sviluppo, che andrebbe invece valorizzata per dare slancio e voce alla docenza e all’autorganizzazione della ricerca-azione nelle singole scuole nelle reti di scuola.</w:t>
      </w:r>
    </w:p>
    <w:p w14:paraId="6DCB3EBF"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Le linee triennali attuative del DL 36/2022 operano inoltre una serie di forzature circa le </w:t>
      </w:r>
      <w:r w:rsidRPr="00F277D7">
        <w:rPr>
          <w:rFonts w:ascii="Arial" w:eastAsia="Times New Roman" w:hAnsi="Arial" w:cs="Arial"/>
          <w:b/>
          <w:bCs/>
          <w:color w:val="000000"/>
          <w:kern w:val="0"/>
          <w:sz w:val="21"/>
          <w:szCs w:val="21"/>
          <w:lang w:eastAsia="it-IT"/>
          <w14:ligatures w14:val="none"/>
        </w:rPr>
        <w:t>prerogative collegiali e l’autonomia professionale specie dei docenti</w:t>
      </w:r>
      <w:r w:rsidRPr="00F277D7">
        <w:rPr>
          <w:rFonts w:ascii="Arial" w:eastAsia="Times New Roman" w:hAnsi="Arial" w:cs="Arial"/>
          <w:color w:val="000000"/>
          <w:kern w:val="0"/>
          <w:sz w:val="21"/>
          <w:szCs w:val="21"/>
          <w:lang w:eastAsia="it-IT"/>
          <w14:ligatures w14:val="none"/>
        </w:rPr>
        <w:t xml:space="preserve">, dal momento che il CCNL dispone che in ogni istituzione scolastica sia il Collegio a deliberare il piano annuale di formazione in coerenza con gli obiettivi e i tempi del </w:t>
      </w:r>
      <w:proofErr w:type="spellStart"/>
      <w:r w:rsidRPr="00F277D7">
        <w:rPr>
          <w:rFonts w:ascii="Arial" w:eastAsia="Times New Roman" w:hAnsi="Arial" w:cs="Arial"/>
          <w:color w:val="000000"/>
          <w:kern w:val="0"/>
          <w:sz w:val="21"/>
          <w:szCs w:val="21"/>
          <w:lang w:eastAsia="it-IT"/>
          <w14:ligatures w14:val="none"/>
        </w:rPr>
        <w:t>Ptof</w:t>
      </w:r>
      <w:proofErr w:type="spellEnd"/>
      <w:r w:rsidRPr="00F277D7">
        <w:rPr>
          <w:rFonts w:ascii="Arial" w:eastAsia="Times New Roman" w:hAnsi="Arial" w:cs="Arial"/>
          <w:color w:val="000000"/>
          <w:kern w:val="0"/>
          <w:sz w:val="21"/>
          <w:szCs w:val="21"/>
          <w:lang w:eastAsia="it-IT"/>
          <w14:ligatures w14:val="none"/>
        </w:rPr>
        <w:t xml:space="preserve"> e che questi non possano essere imposti da soggetti estranei come la SAFI a cui non compete di stabilire perfino il monte orario (40h annuali) di formazione.</w:t>
      </w:r>
    </w:p>
    <w:p w14:paraId="293305E5"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Cosi come non è accettabile che sia il comitato di valutazione a decidere il riconoscimento dell’incentivo salariale determinandone i relativi criteri di assegnazione.</w:t>
      </w:r>
    </w:p>
    <w:p w14:paraId="2575FA3C"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SAFI e Ministero non possono ignorare il negoziato perché si tratta di </w:t>
      </w:r>
      <w:r w:rsidRPr="00F277D7">
        <w:rPr>
          <w:rFonts w:ascii="Arial" w:eastAsia="Times New Roman" w:hAnsi="Arial" w:cs="Arial"/>
          <w:b/>
          <w:bCs/>
          <w:color w:val="000000"/>
          <w:kern w:val="0"/>
          <w:sz w:val="21"/>
          <w:szCs w:val="21"/>
          <w:lang w:eastAsia="it-IT"/>
          <w14:ligatures w14:val="none"/>
        </w:rPr>
        <w:t>materie contrattuali</w:t>
      </w:r>
      <w:r w:rsidRPr="00F277D7">
        <w:rPr>
          <w:rFonts w:ascii="Arial" w:eastAsia="Times New Roman" w:hAnsi="Arial" w:cs="Arial"/>
          <w:color w:val="000000"/>
          <w:kern w:val="0"/>
          <w:sz w:val="21"/>
          <w:szCs w:val="21"/>
          <w:lang w:eastAsia="it-IT"/>
          <w14:ligatures w14:val="none"/>
        </w:rPr>
        <w:t> piene sia per il comparto scuola sia per l’area della dirigenza.</w:t>
      </w:r>
    </w:p>
    <w:p w14:paraId="3A0D93AF"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Su tale complesso di questioni è urgente aprire un confronto politico con il Ministro che affronti le questioni poste e che abbia l’obiettivo di: modificare in radice i contenuti del DL 36/2022, in molti punti disallineato rispetto al CCNL, stanziare risorse aggiuntive per retribuire le attività di formazione svolte dal personale scolastico docente e Ata.</w:t>
      </w:r>
    </w:p>
    <w:p w14:paraId="35E769C8" w14:textId="77777777" w:rsid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lastRenderedPageBreak/>
        <w:t>Al termine della riunione l’amministrazione si è impegnata a trasferire la nostra richiesta di apertura di un incontro politico al Ministro Valditara.</w:t>
      </w:r>
    </w:p>
    <w:p w14:paraId="4C6F581B" w14:textId="77777777" w:rsidR="00F277D7" w:rsidRPr="00F277D7" w:rsidRDefault="00F277D7" w:rsidP="00F277D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F277D7">
        <w:rPr>
          <w:rFonts w:ascii="Tahoma" w:eastAsia="Times New Roman" w:hAnsi="Tahoma" w:cs="Tahoma"/>
          <w:color w:val="DC3B33"/>
          <w:kern w:val="36"/>
          <w:sz w:val="45"/>
          <w:szCs w:val="45"/>
          <w:lang w:eastAsia="it-IT"/>
          <w14:ligatures w14:val="none"/>
        </w:rPr>
        <w:t>Idonei concorso ordinario 2020 e concorsi STEM: la FLC CGIL sostiene l’iniziativa del 14 dicembre e la proposta di continuare a utilizzare le graduatorie per assumere gli idonei</w:t>
      </w:r>
    </w:p>
    <w:p w14:paraId="6693D5EE" w14:textId="77777777" w:rsidR="00F277D7" w:rsidRPr="00F277D7" w:rsidRDefault="00F277D7" w:rsidP="00F277D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F277D7">
        <w:rPr>
          <w:rFonts w:ascii="Arial" w:eastAsia="Times New Roman" w:hAnsi="Arial" w:cs="Arial"/>
          <w:color w:val="535353"/>
          <w:kern w:val="0"/>
          <w:sz w:val="27"/>
          <w:szCs w:val="27"/>
          <w:lang w:eastAsia="it-IT"/>
          <w14:ligatures w14:val="none"/>
        </w:rPr>
        <w:t>L’appuntamento è il 14 dicembre alle ore 15.00 al Ministero dell’Istruzione e Merito a Roma a Viale Trastevere.</w:t>
      </w:r>
    </w:p>
    <w:p w14:paraId="5082E84C" w14:textId="77777777" w:rsidR="00F277D7" w:rsidRPr="00F277D7" w:rsidRDefault="00F277D7" w:rsidP="00F277D7">
      <w:pPr>
        <w:shd w:val="clear" w:color="auto" w:fill="FFFFFF"/>
        <w:spacing w:after="0" w:line="240" w:lineRule="auto"/>
        <w:rPr>
          <w:rFonts w:ascii="Arial" w:eastAsia="Times New Roman" w:hAnsi="Arial" w:cs="Arial"/>
          <w:color w:val="4D4D4D"/>
          <w:kern w:val="0"/>
          <w:sz w:val="21"/>
          <w:szCs w:val="21"/>
          <w:lang w:eastAsia="it-IT"/>
          <w14:ligatures w14:val="none"/>
        </w:rPr>
      </w:pPr>
      <w:r w:rsidRPr="00F277D7">
        <w:rPr>
          <w:rFonts w:ascii="Arial" w:eastAsia="Times New Roman" w:hAnsi="Arial" w:cs="Arial"/>
          <w:b/>
          <w:bCs/>
          <w:color w:val="4D4D4D"/>
          <w:kern w:val="0"/>
          <w:sz w:val="21"/>
          <w:szCs w:val="21"/>
          <w:lang w:eastAsia="it-IT"/>
          <w14:ligatures w14:val="none"/>
        </w:rPr>
        <w:t>12/12/2023</w:t>
      </w:r>
    </w:p>
    <w:p w14:paraId="455B0B91" w14:textId="77777777" w:rsid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E3F4BEF" w14:textId="22237563"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Gli idonei del concorso ordinario e concorso STEM hanno organizzato</w:t>
      </w:r>
      <w:r w:rsidRPr="00F277D7">
        <w:rPr>
          <w:rFonts w:ascii="Arial" w:eastAsia="Times New Roman" w:hAnsi="Arial" w:cs="Arial"/>
          <w:b/>
          <w:bCs/>
          <w:color w:val="000000"/>
          <w:kern w:val="0"/>
          <w:sz w:val="21"/>
          <w:szCs w:val="21"/>
          <w:lang w:eastAsia="it-IT"/>
          <w14:ligatures w14:val="none"/>
        </w:rPr>
        <w:t xml:space="preserve"> il 14 dicembre prossimo un sit-in al Ministero </w:t>
      </w:r>
      <w:proofErr w:type="spellStart"/>
      <w:r w:rsidRPr="00F277D7">
        <w:rPr>
          <w:rFonts w:ascii="Arial" w:eastAsia="Times New Roman" w:hAnsi="Arial" w:cs="Arial"/>
          <w:b/>
          <w:bCs/>
          <w:color w:val="000000"/>
          <w:kern w:val="0"/>
          <w:sz w:val="21"/>
          <w:szCs w:val="21"/>
          <w:lang w:eastAsia="it-IT"/>
          <w14:ligatures w14:val="none"/>
        </w:rPr>
        <w:t>dell</w:t>
      </w:r>
      <w:proofErr w:type="spellEnd"/>
      <w:r w:rsidRPr="00F277D7">
        <w:rPr>
          <w:rFonts w:ascii="Arial" w:eastAsia="Times New Roman" w:hAnsi="Arial" w:cs="Arial"/>
          <w:b/>
          <w:bCs/>
          <w:color w:val="000000"/>
          <w:kern w:val="0"/>
          <w:sz w:val="21"/>
          <w:szCs w:val="21"/>
          <w:rtl/>
          <w:lang w:eastAsia="it-IT"/>
          <w14:ligatures w14:val="none"/>
        </w:rPr>
        <w:t>’</w:t>
      </w:r>
      <w:r w:rsidRPr="00F277D7">
        <w:rPr>
          <w:rFonts w:ascii="Arial" w:eastAsia="Times New Roman" w:hAnsi="Arial" w:cs="Arial"/>
          <w:b/>
          <w:bCs/>
          <w:color w:val="000000"/>
          <w:kern w:val="0"/>
          <w:sz w:val="21"/>
          <w:szCs w:val="21"/>
          <w:lang w:eastAsia="it-IT"/>
          <w14:ligatures w14:val="none"/>
        </w:rPr>
        <w:t>Istruzione e Merito, alle ore 15.00</w:t>
      </w:r>
      <w:r w:rsidRPr="00F277D7">
        <w:rPr>
          <w:rFonts w:ascii="Arial" w:eastAsia="Times New Roman" w:hAnsi="Arial" w:cs="Arial"/>
          <w:color w:val="000000"/>
          <w:kern w:val="0"/>
          <w:sz w:val="21"/>
          <w:szCs w:val="21"/>
          <w:lang w:eastAsia="it-IT"/>
          <w14:ligatures w14:val="none"/>
        </w:rPr>
        <w:t>.</w:t>
      </w:r>
    </w:p>
    <w:p w14:paraId="1D50EA1E"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La loro richiesta è quella di continuare a consentire</w:t>
      </w:r>
      <w:r w:rsidRPr="00F277D7">
        <w:rPr>
          <w:rFonts w:ascii="Arial" w:eastAsia="Times New Roman" w:hAnsi="Arial" w:cs="Arial"/>
          <w:b/>
          <w:bCs/>
          <w:color w:val="000000"/>
          <w:kern w:val="0"/>
          <w:sz w:val="21"/>
          <w:szCs w:val="21"/>
          <w:lang w:eastAsia="it-IT"/>
          <w14:ligatures w14:val="none"/>
        </w:rPr>
        <w:t> l’utilizzo delle graduatorie di merito anche negli anni scolastici 2024/25 e 2025/26, </w:t>
      </w:r>
      <w:r w:rsidRPr="00F277D7">
        <w:rPr>
          <w:rFonts w:ascii="Arial" w:eastAsia="Times New Roman" w:hAnsi="Arial" w:cs="Arial"/>
          <w:color w:val="000000"/>
          <w:kern w:val="0"/>
          <w:sz w:val="21"/>
          <w:szCs w:val="21"/>
          <w:lang w:eastAsia="it-IT"/>
          <w14:ligatures w14:val="none"/>
        </w:rPr>
        <w:t>magari anche con una percentuale di posti “dedicata", fino al completo esaurimento delle stesse.</w:t>
      </w:r>
    </w:p>
    <w:p w14:paraId="44322FA7"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b/>
          <w:bCs/>
          <w:color w:val="000000"/>
          <w:kern w:val="0"/>
          <w:sz w:val="21"/>
          <w:szCs w:val="21"/>
          <w:lang w:eastAsia="it-IT"/>
          <w14:ligatures w14:val="none"/>
        </w:rPr>
        <w:t xml:space="preserve">Come FLC CGIL condividiamo la loro istanza e per questo parteciperemo </w:t>
      </w:r>
      <w:proofErr w:type="spellStart"/>
      <w:r w:rsidRPr="00F277D7">
        <w:rPr>
          <w:rFonts w:ascii="Arial" w:eastAsia="Times New Roman" w:hAnsi="Arial" w:cs="Arial"/>
          <w:b/>
          <w:bCs/>
          <w:color w:val="000000"/>
          <w:kern w:val="0"/>
          <w:sz w:val="21"/>
          <w:szCs w:val="21"/>
          <w:lang w:eastAsia="it-IT"/>
          <w14:ligatures w14:val="none"/>
        </w:rPr>
        <w:t>all</w:t>
      </w:r>
      <w:proofErr w:type="spellEnd"/>
      <w:r w:rsidRPr="00F277D7">
        <w:rPr>
          <w:rFonts w:ascii="Arial" w:eastAsia="Times New Roman" w:hAnsi="Arial" w:cs="Arial"/>
          <w:b/>
          <w:bCs/>
          <w:color w:val="000000"/>
          <w:kern w:val="0"/>
          <w:sz w:val="21"/>
          <w:szCs w:val="21"/>
          <w:rtl/>
          <w:lang w:eastAsia="it-IT"/>
          <w14:ligatures w14:val="none"/>
        </w:rPr>
        <w:t>’</w:t>
      </w:r>
      <w:r w:rsidRPr="00F277D7">
        <w:rPr>
          <w:rFonts w:ascii="Arial" w:eastAsia="Times New Roman" w:hAnsi="Arial" w:cs="Arial"/>
          <w:b/>
          <w:bCs/>
          <w:color w:val="000000"/>
          <w:kern w:val="0"/>
          <w:sz w:val="21"/>
          <w:szCs w:val="21"/>
          <w:lang w:eastAsia="it-IT"/>
          <w14:ligatures w14:val="none"/>
        </w:rPr>
        <w:t>iniziativa.</w:t>
      </w:r>
    </w:p>
    <w:p w14:paraId="545B00B2"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L</w:t>
      </w:r>
      <w:r w:rsidRPr="00F277D7">
        <w:rPr>
          <w:rFonts w:ascii="Arial" w:eastAsia="Times New Roman" w:hAnsi="Arial" w:cs="Arial"/>
          <w:color w:val="000000"/>
          <w:kern w:val="0"/>
          <w:sz w:val="21"/>
          <w:szCs w:val="21"/>
          <w:rtl/>
          <w:lang w:eastAsia="it-IT"/>
          <w14:ligatures w14:val="none"/>
        </w:rPr>
        <w:t>’</w:t>
      </w:r>
      <w:r w:rsidRPr="00F277D7">
        <w:rPr>
          <w:rFonts w:ascii="Arial" w:eastAsia="Times New Roman" w:hAnsi="Arial" w:cs="Arial"/>
          <w:color w:val="000000"/>
          <w:kern w:val="0"/>
          <w:sz w:val="21"/>
          <w:szCs w:val="21"/>
          <w:lang w:eastAsia="it-IT"/>
          <w14:ligatures w14:val="none"/>
        </w:rPr>
        <w:t>impegno della FLC CGIL a fianco dei docenti risultati idonei nel concorso ordinario 2020 e nei concorsi STEM prosegue da più di un anno e mezzo.</w:t>
      </w:r>
    </w:p>
    <w:p w14:paraId="42367D23"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b/>
          <w:bCs/>
          <w:color w:val="000000"/>
          <w:kern w:val="0"/>
          <w:sz w:val="21"/>
          <w:szCs w:val="21"/>
          <w:lang w:eastAsia="it-IT"/>
          <w14:ligatures w14:val="none"/>
        </w:rPr>
        <w:t>Abbiamo sostenuto l</w:t>
      </w:r>
      <w:r w:rsidRPr="00F277D7">
        <w:rPr>
          <w:rFonts w:ascii="Arial" w:eastAsia="Times New Roman" w:hAnsi="Arial" w:cs="Arial"/>
          <w:b/>
          <w:bCs/>
          <w:color w:val="000000"/>
          <w:kern w:val="0"/>
          <w:sz w:val="21"/>
          <w:szCs w:val="21"/>
          <w:rtl/>
          <w:lang w:eastAsia="it-IT"/>
          <w14:ligatures w14:val="none"/>
        </w:rPr>
        <w:t>’</w:t>
      </w:r>
      <w:r w:rsidRPr="00F277D7">
        <w:rPr>
          <w:rFonts w:ascii="Arial" w:eastAsia="Times New Roman" w:hAnsi="Arial" w:cs="Arial"/>
          <w:b/>
          <w:bCs/>
          <w:color w:val="000000"/>
          <w:kern w:val="0"/>
          <w:sz w:val="21"/>
          <w:szCs w:val="21"/>
          <w:lang w:eastAsia="it-IT"/>
          <w14:ligatures w14:val="none"/>
        </w:rPr>
        <w:t>inserimento degli idonei nelle graduatorie</w:t>
      </w:r>
      <w:r w:rsidRPr="00F277D7">
        <w:rPr>
          <w:rFonts w:ascii="Arial" w:eastAsia="Times New Roman" w:hAnsi="Arial" w:cs="Arial"/>
          <w:color w:val="000000"/>
          <w:kern w:val="0"/>
          <w:sz w:val="21"/>
          <w:szCs w:val="21"/>
          <w:lang w:eastAsia="it-IT"/>
          <w14:ligatures w14:val="none"/>
        </w:rPr>
        <w:t xml:space="preserve">, che poi è avvenuto nel caso della scuola primaria e </w:t>
      </w:r>
      <w:proofErr w:type="spellStart"/>
      <w:r w:rsidRPr="00F277D7">
        <w:rPr>
          <w:rFonts w:ascii="Arial" w:eastAsia="Times New Roman" w:hAnsi="Arial" w:cs="Arial"/>
          <w:color w:val="000000"/>
          <w:kern w:val="0"/>
          <w:sz w:val="21"/>
          <w:szCs w:val="21"/>
          <w:lang w:eastAsia="it-IT"/>
          <w14:ligatures w14:val="none"/>
        </w:rPr>
        <w:t>dell</w:t>
      </w:r>
      <w:proofErr w:type="spellEnd"/>
      <w:r w:rsidRPr="00F277D7">
        <w:rPr>
          <w:rFonts w:ascii="Arial" w:eastAsia="Times New Roman" w:hAnsi="Arial" w:cs="Arial"/>
          <w:color w:val="000000"/>
          <w:kern w:val="0"/>
          <w:sz w:val="21"/>
          <w:szCs w:val="21"/>
          <w:rtl/>
          <w:lang w:eastAsia="it-IT"/>
          <w14:ligatures w14:val="none"/>
        </w:rPr>
        <w:t>’</w:t>
      </w:r>
      <w:r w:rsidRPr="00F277D7">
        <w:rPr>
          <w:rFonts w:ascii="Arial" w:eastAsia="Times New Roman" w:hAnsi="Arial" w:cs="Arial"/>
          <w:color w:val="000000"/>
          <w:kern w:val="0"/>
          <w:sz w:val="21"/>
          <w:szCs w:val="21"/>
          <w:lang w:eastAsia="it-IT"/>
          <w14:ligatures w14:val="none"/>
        </w:rPr>
        <w:t>infanzia per effetto del Decreto Legge 21 del 21 marzo 2022 (art. 36 c. 2-ter) e nel caso del concorso della secondaria grazie al Decreto Legge 36 del 30 aprile 2022 (</w:t>
      </w:r>
      <w:proofErr w:type="spellStart"/>
      <w:r w:rsidRPr="00F277D7">
        <w:rPr>
          <w:rFonts w:ascii="Arial" w:eastAsia="Times New Roman" w:hAnsi="Arial" w:cs="Arial"/>
          <w:color w:val="000000"/>
          <w:kern w:val="0"/>
          <w:sz w:val="21"/>
          <w:szCs w:val="21"/>
          <w:lang w:eastAsia="it-IT"/>
          <w14:ligatures w14:val="none"/>
        </w:rPr>
        <w:t>all</w:t>
      </w:r>
      <w:proofErr w:type="spellEnd"/>
      <w:r w:rsidRPr="00F277D7">
        <w:rPr>
          <w:rFonts w:ascii="Arial" w:eastAsia="Times New Roman" w:hAnsi="Arial" w:cs="Arial"/>
          <w:color w:val="000000"/>
          <w:kern w:val="0"/>
          <w:sz w:val="21"/>
          <w:szCs w:val="21"/>
          <w:rtl/>
          <w:lang w:eastAsia="it-IT"/>
          <w14:ligatures w14:val="none"/>
        </w:rPr>
        <w:t>’</w:t>
      </w:r>
      <w:r w:rsidRPr="00F277D7">
        <w:rPr>
          <w:rFonts w:ascii="Arial" w:eastAsia="Times New Roman" w:hAnsi="Arial" w:cs="Arial"/>
          <w:color w:val="000000"/>
          <w:kern w:val="0"/>
          <w:sz w:val="21"/>
          <w:szCs w:val="21"/>
          <w:lang w:eastAsia="it-IT"/>
          <w14:ligatures w14:val="none"/>
        </w:rPr>
        <w:t>art. 47 c. 11).</w:t>
      </w:r>
    </w:p>
    <w:p w14:paraId="3F6B84B4"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Dopo vari tentativi, </w:t>
      </w:r>
      <w:r w:rsidRPr="00F277D7">
        <w:rPr>
          <w:rFonts w:ascii="Arial" w:eastAsia="Times New Roman" w:hAnsi="Arial" w:cs="Arial"/>
          <w:b/>
          <w:bCs/>
          <w:color w:val="000000"/>
          <w:kern w:val="0"/>
          <w:sz w:val="21"/>
          <w:szCs w:val="21"/>
          <w:lang w:eastAsia="it-IT"/>
          <w14:ligatures w14:val="none"/>
        </w:rPr>
        <w:t>mediante il decreto “PA bis” </w:t>
      </w:r>
      <w:r w:rsidRPr="00F277D7">
        <w:rPr>
          <w:rFonts w:ascii="Arial" w:eastAsia="Times New Roman" w:hAnsi="Arial" w:cs="Arial"/>
          <w:color w:val="000000"/>
          <w:kern w:val="0"/>
          <w:sz w:val="21"/>
          <w:szCs w:val="21"/>
          <w:lang w:eastAsia="it-IT"/>
          <w14:ligatures w14:val="none"/>
        </w:rPr>
        <w:t>(DL n. 75 del 22 giugno 2023, convertito con la L. 10 agosto 2023, n. 112) </w:t>
      </w:r>
      <w:r w:rsidRPr="00F277D7">
        <w:rPr>
          <w:rFonts w:ascii="Arial" w:eastAsia="Times New Roman" w:hAnsi="Arial" w:cs="Arial"/>
          <w:b/>
          <w:bCs/>
          <w:color w:val="000000"/>
          <w:kern w:val="0"/>
          <w:sz w:val="21"/>
          <w:szCs w:val="21"/>
          <w:lang w:eastAsia="it-IT"/>
          <w14:ligatures w14:val="none"/>
        </w:rPr>
        <w:t>abbiamo ottenuto che le graduatorie dei concorsi ordinari 2020 e concorsi STEM, comprensive degli idonei, fossero prorogate sino al loro esaurimento.</w:t>
      </w:r>
    </w:p>
    <w:p w14:paraId="1ACEB0D4"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b/>
          <w:bCs/>
          <w:color w:val="000000"/>
          <w:kern w:val="0"/>
          <w:sz w:val="21"/>
          <w:szCs w:val="21"/>
          <w:lang w:eastAsia="it-IT"/>
          <w14:ligatures w14:val="none"/>
        </w:rPr>
        <w:t xml:space="preserve">La norma tuttavia ha previsto anche che a decorrere dall'anno scolastico 2024/2025, le graduatorie siano utilizzate “nei limiti delle facoltà </w:t>
      </w:r>
      <w:proofErr w:type="spellStart"/>
      <w:r w:rsidRPr="00F277D7">
        <w:rPr>
          <w:rFonts w:ascii="Arial" w:eastAsia="Times New Roman" w:hAnsi="Arial" w:cs="Arial"/>
          <w:b/>
          <w:bCs/>
          <w:color w:val="000000"/>
          <w:kern w:val="0"/>
          <w:sz w:val="21"/>
          <w:szCs w:val="21"/>
          <w:lang w:eastAsia="it-IT"/>
          <w14:ligatures w14:val="none"/>
        </w:rPr>
        <w:t>assunzionali</w:t>
      </w:r>
      <w:proofErr w:type="spellEnd"/>
      <w:r w:rsidRPr="00F277D7">
        <w:rPr>
          <w:rFonts w:ascii="Arial" w:eastAsia="Times New Roman" w:hAnsi="Arial" w:cs="Arial"/>
          <w:b/>
          <w:bCs/>
          <w:color w:val="000000"/>
          <w:kern w:val="0"/>
          <w:sz w:val="21"/>
          <w:szCs w:val="21"/>
          <w:lang w:eastAsia="it-IT"/>
          <w14:ligatures w14:val="none"/>
        </w:rPr>
        <w:t> </w:t>
      </w:r>
      <w:r w:rsidRPr="00F277D7">
        <w:rPr>
          <w:rFonts w:ascii="Arial" w:eastAsia="Times New Roman" w:hAnsi="Arial" w:cs="Arial"/>
          <w:b/>
          <w:bCs/>
          <w:color w:val="000000"/>
          <w:kern w:val="0"/>
          <w:sz w:val="21"/>
          <w:szCs w:val="21"/>
          <w:u w:val="single"/>
          <w:lang w:eastAsia="it-IT"/>
          <w14:ligatures w14:val="none"/>
        </w:rPr>
        <w:t>residuali</w:t>
      </w:r>
      <w:r w:rsidRPr="00F277D7">
        <w:rPr>
          <w:rFonts w:ascii="Arial" w:eastAsia="Times New Roman" w:hAnsi="Arial" w:cs="Arial"/>
          <w:b/>
          <w:bCs/>
          <w:color w:val="000000"/>
          <w:kern w:val="0"/>
          <w:sz w:val="21"/>
          <w:szCs w:val="21"/>
          <w:lang w:eastAsia="it-IT"/>
          <w14:ligatures w14:val="none"/>
        </w:rPr>
        <w:t> rispetto alle immissioni in ruolo necessarie al raggiungimento degli obiettivi previsti dal PNRR”.</w:t>
      </w:r>
    </w:p>
    <w:p w14:paraId="06627AC7"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b/>
          <w:bCs/>
          <w:color w:val="000000"/>
          <w:kern w:val="0"/>
          <w:sz w:val="21"/>
          <w:szCs w:val="21"/>
          <w:lang w:eastAsia="it-IT"/>
          <w14:ligatures w14:val="none"/>
        </w:rPr>
        <w:t xml:space="preserve">In questa fase la richiesta è quindi quella di prevedere una ulteriore tutela, che tenga conto della recente rimodulazione degli obiettivi </w:t>
      </w:r>
      <w:proofErr w:type="spellStart"/>
      <w:r w:rsidRPr="00F277D7">
        <w:rPr>
          <w:rFonts w:ascii="Arial" w:eastAsia="Times New Roman" w:hAnsi="Arial" w:cs="Arial"/>
          <w:b/>
          <w:bCs/>
          <w:color w:val="000000"/>
          <w:kern w:val="0"/>
          <w:sz w:val="21"/>
          <w:szCs w:val="21"/>
          <w:lang w:eastAsia="it-IT"/>
          <w14:ligatures w14:val="none"/>
        </w:rPr>
        <w:t>assunzionali</w:t>
      </w:r>
      <w:proofErr w:type="spellEnd"/>
      <w:r w:rsidRPr="00F277D7">
        <w:rPr>
          <w:rFonts w:ascii="Arial" w:eastAsia="Times New Roman" w:hAnsi="Arial" w:cs="Arial"/>
          <w:b/>
          <w:bCs/>
          <w:color w:val="000000"/>
          <w:kern w:val="0"/>
          <w:sz w:val="21"/>
          <w:szCs w:val="21"/>
          <w:lang w:eastAsia="it-IT"/>
          <w14:ligatures w14:val="none"/>
        </w:rPr>
        <w:t xml:space="preserve"> concordati con la Commissione europea e preveda maggiori scorrimenti delle graduatorie anche nei prossimi anni scolastici.</w:t>
      </w:r>
    </w:p>
    <w:p w14:paraId="0B0CDBE5"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b/>
          <w:bCs/>
          <w:color w:val="000000"/>
          <w:kern w:val="0"/>
          <w:sz w:val="21"/>
          <w:szCs w:val="21"/>
          <w:lang w:eastAsia="it-IT"/>
          <w14:ligatures w14:val="none"/>
        </w:rPr>
        <w:t>L’attuale riformulazione dei Target del PNRR è la seguente:</w:t>
      </w:r>
    </w:p>
    <w:p w14:paraId="075C8B21" w14:textId="77777777" w:rsidR="00F277D7" w:rsidRPr="00F277D7" w:rsidRDefault="00F277D7" w:rsidP="00F277D7">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77D7">
        <w:rPr>
          <w:rFonts w:ascii="Arial" w:eastAsia="Times New Roman" w:hAnsi="Arial" w:cs="Arial"/>
          <w:b/>
          <w:bCs/>
          <w:color w:val="000000"/>
          <w:kern w:val="0"/>
          <w:sz w:val="23"/>
          <w:szCs w:val="23"/>
          <w:lang w:eastAsia="it-IT"/>
          <w14:ligatures w14:val="none"/>
        </w:rPr>
        <w:t>Concorsi banditi a dicembre 2023</w:t>
      </w:r>
      <w:r w:rsidRPr="00F277D7">
        <w:rPr>
          <w:rFonts w:ascii="Arial" w:eastAsia="Times New Roman" w:hAnsi="Arial" w:cs="Arial"/>
          <w:color w:val="000000"/>
          <w:kern w:val="0"/>
          <w:sz w:val="23"/>
          <w:szCs w:val="23"/>
          <w:lang w:eastAsia="it-IT"/>
          <w14:ligatures w14:val="none"/>
        </w:rPr>
        <w:t> = 20 mila assunzioni entro dicembre 2024</w:t>
      </w:r>
    </w:p>
    <w:p w14:paraId="0452278A" w14:textId="77777777" w:rsidR="00F277D7" w:rsidRPr="00F277D7" w:rsidRDefault="00F277D7" w:rsidP="00F277D7">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77D7">
        <w:rPr>
          <w:rFonts w:ascii="Arial" w:eastAsia="Times New Roman" w:hAnsi="Arial" w:cs="Arial"/>
          <w:color w:val="000000"/>
          <w:kern w:val="0"/>
          <w:sz w:val="23"/>
          <w:szCs w:val="23"/>
          <w:lang w:eastAsia="it-IT"/>
          <w14:ligatures w14:val="none"/>
        </w:rPr>
        <w:t>Concorsi banditi a settembre/ottobre 2024 = 20 mila assunzioni entro settembre 2025</w:t>
      </w:r>
    </w:p>
    <w:p w14:paraId="5EC39599" w14:textId="77777777" w:rsidR="00F277D7" w:rsidRPr="00F277D7" w:rsidRDefault="00F277D7" w:rsidP="00F277D7">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77D7">
        <w:rPr>
          <w:rFonts w:ascii="Arial" w:eastAsia="Times New Roman" w:hAnsi="Arial" w:cs="Arial"/>
          <w:color w:val="000000"/>
          <w:kern w:val="0"/>
          <w:sz w:val="23"/>
          <w:szCs w:val="23"/>
          <w:lang w:eastAsia="it-IT"/>
          <w14:ligatures w14:val="none"/>
        </w:rPr>
        <w:t>Concorsi banditi a giugno 2025 = 30 mila assunzioni entro 2026</w:t>
      </w:r>
    </w:p>
    <w:p w14:paraId="104EFED4"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77D7">
        <w:rPr>
          <w:rFonts w:ascii="Arial" w:eastAsia="Times New Roman" w:hAnsi="Arial" w:cs="Arial"/>
          <w:color w:val="000000"/>
          <w:kern w:val="0"/>
          <w:sz w:val="21"/>
          <w:szCs w:val="21"/>
          <w:lang w:eastAsia="it-IT"/>
          <w14:ligatures w14:val="none"/>
        </w:rPr>
        <w:t xml:space="preserve">Ci auguriamo che la richiesta degli idonei venga accolta e riteniamo importante partecipare a questo evento che pone </w:t>
      </w:r>
      <w:proofErr w:type="spellStart"/>
      <w:r w:rsidRPr="00F277D7">
        <w:rPr>
          <w:rFonts w:ascii="Arial" w:eastAsia="Times New Roman" w:hAnsi="Arial" w:cs="Arial"/>
          <w:color w:val="000000"/>
          <w:kern w:val="0"/>
          <w:sz w:val="21"/>
          <w:szCs w:val="21"/>
          <w:lang w:eastAsia="it-IT"/>
          <w14:ligatures w14:val="none"/>
        </w:rPr>
        <w:t>all</w:t>
      </w:r>
      <w:proofErr w:type="spellEnd"/>
      <w:r w:rsidRPr="00F277D7">
        <w:rPr>
          <w:rFonts w:ascii="Arial" w:eastAsia="Times New Roman" w:hAnsi="Arial" w:cs="Arial"/>
          <w:color w:val="000000"/>
          <w:kern w:val="0"/>
          <w:sz w:val="21"/>
          <w:szCs w:val="21"/>
          <w:rtl/>
          <w:lang w:eastAsia="it-IT"/>
          <w14:ligatures w14:val="none"/>
        </w:rPr>
        <w:t>’</w:t>
      </w:r>
      <w:r w:rsidRPr="00F277D7">
        <w:rPr>
          <w:rFonts w:ascii="Arial" w:eastAsia="Times New Roman" w:hAnsi="Arial" w:cs="Arial"/>
          <w:color w:val="000000"/>
          <w:kern w:val="0"/>
          <w:sz w:val="21"/>
          <w:szCs w:val="21"/>
          <w:lang w:eastAsia="it-IT"/>
          <w14:ligatures w14:val="none"/>
        </w:rPr>
        <w:t>attenzione del Ministro Valditara un tema condivisibile: ovvero che </w:t>
      </w:r>
      <w:r w:rsidRPr="00F277D7">
        <w:rPr>
          <w:rFonts w:ascii="Arial" w:eastAsia="Times New Roman" w:hAnsi="Arial" w:cs="Arial"/>
          <w:b/>
          <w:bCs/>
          <w:color w:val="000000"/>
          <w:kern w:val="0"/>
          <w:sz w:val="21"/>
          <w:szCs w:val="21"/>
          <w:lang w:eastAsia="it-IT"/>
          <w14:ligatures w14:val="none"/>
        </w:rPr>
        <w:t>chi ha superato un concorso selettivo possa vedere riconosciuta la possibilità di immissione in ruolo, senza dover rifare daccapo un nuovo concorso.</w:t>
      </w:r>
    </w:p>
    <w:p w14:paraId="47FBF6F8" w14:textId="77777777" w:rsidR="00F277D7" w:rsidRPr="00F277D7" w:rsidRDefault="00F277D7" w:rsidP="00F277D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sectPr w:rsidR="00F277D7" w:rsidRPr="00F277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75FD"/>
    <w:multiLevelType w:val="multilevel"/>
    <w:tmpl w:val="6D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9205F"/>
    <w:multiLevelType w:val="multilevel"/>
    <w:tmpl w:val="24A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C63B5"/>
    <w:multiLevelType w:val="multilevel"/>
    <w:tmpl w:val="B0E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279E3"/>
    <w:multiLevelType w:val="multilevel"/>
    <w:tmpl w:val="74A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76336"/>
    <w:multiLevelType w:val="multilevel"/>
    <w:tmpl w:val="A2E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09484">
    <w:abstractNumId w:val="0"/>
  </w:num>
  <w:num w:numId="2" w16cid:durableId="1916738179">
    <w:abstractNumId w:val="4"/>
  </w:num>
  <w:num w:numId="3" w16cid:durableId="1774518949">
    <w:abstractNumId w:val="2"/>
  </w:num>
  <w:num w:numId="4" w16cid:durableId="177233918">
    <w:abstractNumId w:val="3"/>
  </w:num>
  <w:num w:numId="5" w16cid:durableId="39139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7"/>
    <w:rsid w:val="000D0D40"/>
    <w:rsid w:val="000D0EC2"/>
    <w:rsid w:val="00224347"/>
    <w:rsid w:val="00D44827"/>
    <w:rsid w:val="00F27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0BCA"/>
  <w15:chartTrackingRefBased/>
  <w15:docId w15:val="{180FE161-8659-4CC1-A978-E29ECE22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0975">
      <w:bodyDiv w:val="1"/>
      <w:marLeft w:val="0"/>
      <w:marRight w:val="0"/>
      <w:marTop w:val="0"/>
      <w:marBottom w:val="0"/>
      <w:divBdr>
        <w:top w:val="none" w:sz="0" w:space="0" w:color="auto"/>
        <w:left w:val="none" w:sz="0" w:space="0" w:color="auto"/>
        <w:bottom w:val="none" w:sz="0" w:space="0" w:color="auto"/>
        <w:right w:val="none" w:sz="0" w:space="0" w:color="auto"/>
      </w:divBdr>
      <w:divsChild>
        <w:div w:id="1414008061">
          <w:marLeft w:val="0"/>
          <w:marRight w:val="0"/>
          <w:marTop w:val="150"/>
          <w:marBottom w:val="150"/>
          <w:divBdr>
            <w:top w:val="none" w:sz="0" w:space="0" w:color="auto"/>
            <w:left w:val="none" w:sz="0" w:space="0" w:color="auto"/>
            <w:bottom w:val="single" w:sz="6" w:space="0" w:color="CCCCCC"/>
            <w:right w:val="none" w:sz="0" w:space="0" w:color="auto"/>
          </w:divBdr>
          <w:divsChild>
            <w:div w:id="1412505614">
              <w:marLeft w:val="0"/>
              <w:marRight w:val="0"/>
              <w:marTop w:val="0"/>
              <w:marBottom w:val="0"/>
              <w:divBdr>
                <w:top w:val="none" w:sz="0" w:space="0" w:color="auto"/>
                <w:left w:val="none" w:sz="0" w:space="0" w:color="auto"/>
                <w:bottom w:val="none" w:sz="0" w:space="0" w:color="auto"/>
                <w:right w:val="none" w:sz="0" w:space="0" w:color="auto"/>
              </w:divBdr>
            </w:div>
          </w:divsChild>
        </w:div>
        <w:div w:id="1124423739">
          <w:marLeft w:val="0"/>
          <w:marRight w:val="0"/>
          <w:marTop w:val="0"/>
          <w:marBottom w:val="0"/>
          <w:divBdr>
            <w:top w:val="none" w:sz="0" w:space="0" w:color="auto"/>
            <w:left w:val="none" w:sz="0" w:space="0" w:color="auto"/>
            <w:bottom w:val="none" w:sz="0" w:space="0" w:color="auto"/>
            <w:right w:val="none" w:sz="0" w:space="0" w:color="auto"/>
          </w:divBdr>
          <w:divsChild>
            <w:div w:id="1234899171">
              <w:marLeft w:val="75"/>
              <w:marRight w:val="150"/>
              <w:marTop w:val="45"/>
              <w:marBottom w:val="75"/>
              <w:divBdr>
                <w:top w:val="none" w:sz="0" w:space="0" w:color="auto"/>
                <w:left w:val="none" w:sz="0" w:space="0" w:color="auto"/>
                <w:bottom w:val="none" w:sz="0" w:space="0" w:color="auto"/>
                <w:right w:val="none" w:sz="0" w:space="0" w:color="auto"/>
              </w:divBdr>
            </w:div>
            <w:div w:id="1797289540">
              <w:marLeft w:val="300"/>
              <w:marRight w:val="150"/>
              <w:marTop w:val="75"/>
              <w:marBottom w:val="0"/>
              <w:divBdr>
                <w:top w:val="none" w:sz="0" w:space="0" w:color="auto"/>
                <w:left w:val="none" w:sz="0" w:space="0" w:color="auto"/>
                <w:bottom w:val="none" w:sz="0" w:space="0" w:color="auto"/>
                <w:right w:val="none" w:sz="0" w:space="0" w:color="auto"/>
              </w:divBdr>
            </w:div>
            <w:div w:id="826287478">
              <w:marLeft w:val="300"/>
              <w:marRight w:val="150"/>
              <w:marTop w:val="75"/>
              <w:marBottom w:val="0"/>
              <w:divBdr>
                <w:top w:val="none" w:sz="0" w:space="0" w:color="auto"/>
                <w:left w:val="none" w:sz="0" w:space="0" w:color="auto"/>
                <w:bottom w:val="none" w:sz="0" w:space="0" w:color="auto"/>
                <w:right w:val="none" w:sz="0" w:space="0" w:color="auto"/>
              </w:divBdr>
            </w:div>
          </w:divsChild>
        </w:div>
        <w:div w:id="1029113234">
          <w:marLeft w:val="0"/>
          <w:marRight w:val="0"/>
          <w:marTop w:val="75"/>
          <w:marBottom w:val="150"/>
          <w:divBdr>
            <w:top w:val="none" w:sz="0" w:space="0" w:color="auto"/>
            <w:left w:val="none" w:sz="0" w:space="0" w:color="auto"/>
            <w:bottom w:val="none" w:sz="0" w:space="0" w:color="auto"/>
            <w:right w:val="none" w:sz="0" w:space="0" w:color="auto"/>
          </w:divBdr>
        </w:div>
      </w:divsChild>
    </w:div>
    <w:div w:id="538008393">
      <w:bodyDiv w:val="1"/>
      <w:marLeft w:val="0"/>
      <w:marRight w:val="0"/>
      <w:marTop w:val="0"/>
      <w:marBottom w:val="0"/>
      <w:divBdr>
        <w:top w:val="none" w:sz="0" w:space="0" w:color="auto"/>
        <w:left w:val="none" w:sz="0" w:space="0" w:color="auto"/>
        <w:bottom w:val="none" w:sz="0" w:space="0" w:color="auto"/>
        <w:right w:val="none" w:sz="0" w:space="0" w:color="auto"/>
      </w:divBdr>
      <w:divsChild>
        <w:div w:id="1795441566">
          <w:marLeft w:val="0"/>
          <w:marRight w:val="0"/>
          <w:marTop w:val="150"/>
          <w:marBottom w:val="150"/>
          <w:divBdr>
            <w:top w:val="none" w:sz="0" w:space="0" w:color="auto"/>
            <w:left w:val="none" w:sz="0" w:space="0" w:color="auto"/>
            <w:bottom w:val="single" w:sz="6" w:space="0" w:color="CCCCCC"/>
            <w:right w:val="none" w:sz="0" w:space="0" w:color="auto"/>
          </w:divBdr>
          <w:divsChild>
            <w:div w:id="1714618461">
              <w:marLeft w:val="0"/>
              <w:marRight w:val="0"/>
              <w:marTop w:val="0"/>
              <w:marBottom w:val="0"/>
              <w:divBdr>
                <w:top w:val="none" w:sz="0" w:space="0" w:color="auto"/>
                <w:left w:val="none" w:sz="0" w:space="0" w:color="auto"/>
                <w:bottom w:val="none" w:sz="0" w:space="0" w:color="auto"/>
                <w:right w:val="none" w:sz="0" w:space="0" w:color="auto"/>
              </w:divBdr>
            </w:div>
          </w:divsChild>
        </w:div>
        <w:div w:id="299846633">
          <w:marLeft w:val="0"/>
          <w:marRight w:val="0"/>
          <w:marTop w:val="0"/>
          <w:marBottom w:val="0"/>
          <w:divBdr>
            <w:top w:val="none" w:sz="0" w:space="0" w:color="auto"/>
            <w:left w:val="none" w:sz="0" w:space="0" w:color="auto"/>
            <w:bottom w:val="none" w:sz="0" w:space="0" w:color="auto"/>
            <w:right w:val="none" w:sz="0" w:space="0" w:color="auto"/>
          </w:divBdr>
          <w:divsChild>
            <w:div w:id="788932546">
              <w:marLeft w:val="75"/>
              <w:marRight w:val="150"/>
              <w:marTop w:val="45"/>
              <w:marBottom w:val="75"/>
              <w:divBdr>
                <w:top w:val="none" w:sz="0" w:space="0" w:color="auto"/>
                <w:left w:val="none" w:sz="0" w:space="0" w:color="auto"/>
                <w:bottom w:val="none" w:sz="0" w:space="0" w:color="auto"/>
                <w:right w:val="none" w:sz="0" w:space="0" w:color="auto"/>
              </w:divBdr>
            </w:div>
            <w:div w:id="1447232405">
              <w:marLeft w:val="300"/>
              <w:marRight w:val="150"/>
              <w:marTop w:val="75"/>
              <w:marBottom w:val="0"/>
              <w:divBdr>
                <w:top w:val="none" w:sz="0" w:space="0" w:color="auto"/>
                <w:left w:val="none" w:sz="0" w:space="0" w:color="auto"/>
                <w:bottom w:val="none" w:sz="0" w:space="0" w:color="auto"/>
                <w:right w:val="none" w:sz="0" w:space="0" w:color="auto"/>
              </w:divBdr>
            </w:div>
            <w:div w:id="2084983978">
              <w:marLeft w:val="300"/>
              <w:marRight w:val="150"/>
              <w:marTop w:val="75"/>
              <w:marBottom w:val="0"/>
              <w:divBdr>
                <w:top w:val="none" w:sz="0" w:space="0" w:color="auto"/>
                <w:left w:val="none" w:sz="0" w:space="0" w:color="auto"/>
                <w:bottom w:val="none" w:sz="0" w:space="0" w:color="auto"/>
                <w:right w:val="none" w:sz="0" w:space="0" w:color="auto"/>
              </w:divBdr>
            </w:div>
          </w:divsChild>
        </w:div>
        <w:div w:id="783575685">
          <w:marLeft w:val="0"/>
          <w:marRight w:val="0"/>
          <w:marTop w:val="75"/>
          <w:marBottom w:val="150"/>
          <w:divBdr>
            <w:top w:val="none" w:sz="0" w:space="0" w:color="auto"/>
            <w:left w:val="none" w:sz="0" w:space="0" w:color="auto"/>
            <w:bottom w:val="none" w:sz="0" w:space="0" w:color="auto"/>
            <w:right w:val="none" w:sz="0" w:space="0" w:color="auto"/>
          </w:divBdr>
        </w:div>
      </w:divsChild>
    </w:div>
    <w:div w:id="557204333">
      <w:bodyDiv w:val="1"/>
      <w:marLeft w:val="0"/>
      <w:marRight w:val="0"/>
      <w:marTop w:val="0"/>
      <w:marBottom w:val="0"/>
      <w:divBdr>
        <w:top w:val="none" w:sz="0" w:space="0" w:color="auto"/>
        <w:left w:val="none" w:sz="0" w:space="0" w:color="auto"/>
        <w:bottom w:val="none" w:sz="0" w:space="0" w:color="auto"/>
        <w:right w:val="none" w:sz="0" w:space="0" w:color="auto"/>
      </w:divBdr>
      <w:divsChild>
        <w:div w:id="313338479">
          <w:marLeft w:val="0"/>
          <w:marRight w:val="0"/>
          <w:marTop w:val="150"/>
          <w:marBottom w:val="150"/>
          <w:divBdr>
            <w:top w:val="none" w:sz="0" w:space="0" w:color="auto"/>
            <w:left w:val="none" w:sz="0" w:space="0" w:color="auto"/>
            <w:bottom w:val="single" w:sz="6" w:space="0" w:color="CCCCCC"/>
            <w:right w:val="none" w:sz="0" w:space="0" w:color="auto"/>
          </w:divBdr>
          <w:divsChild>
            <w:div w:id="1440640902">
              <w:marLeft w:val="0"/>
              <w:marRight w:val="0"/>
              <w:marTop w:val="0"/>
              <w:marBottom w:val="0"/>
              <w:divBdr>
                <w:top w:val="none" w:sz="0" w:space="0" w:color="auto"/>
                <w:left w:val="none" w:sz="0" w:space="0" w:color="auto"/>
                <w:bottom w:val="none" w:sz="0" w:space="0" w:color="auto"/>
                <w:right w:val="none" w:sz="0" w:space="0" w:color="auto"/>
              </w:divBdr>
            </w:div>
          </w:divsChild>
        </w:div>
        <w:div w:id="388572838">
          <w:marLeft w:val="0"/>
          <w:marRight w:val="0"/>
          <w:marTop w:val="0"/>
          <w:marBottom w:val="0"/>
          <w:divBdr>
            <w:top w:val="none" w:sz="0" w:space="0" w:color="auto"/>
            <w:left w:val="none" w:sz="0" w:space="0" w:color="auto"/>
            <w:bottom w:val="none" w:sz="0" w:space="0" w:color="auto"/>
            <w:right w:val="none" w:sz="0" w:space="0" w:color="auto"/>
          </w:divBdr>
          <w:divsChild>
            <w:div w:id="2053966324">
              <w:marLeft w:val="75"/>
              <w:marRight w:val="150"/>
              <w:marTop w:val="45"/>
              <w:marBottom w:val="75"/>
              <w:divBdr>
                <w:top w:val="none" w:sz="0" w:space="0" w:color="auto"/>
                <w:left w:val="none" w:sz="0" w:space="0" w:color="auto"/>
                <w:bottom w:val="none" w:sz="0" w:space="0" w:color="auto"/>
                <w:right w:val="none" w:sz="0" w:space="0" w:color="auto"/>
              </w:divBdr>
            </w:div>
            <w:div w:id="1804304256">
              <w:marLeft w:val="300"/>
              <w:marRight w:val="150"/>
              <w:marTop w:val="75"/>
              <w:marBottom w:val="0"/>
              <w:divBdr>
                <w:top w:val="none" w:sz="0" w:space="0" w:color="auto"/>
                <w:left w:val="none" w:sz="0" w:space="0" w:color="auto"/>
                <w:bottom w:val="none" w:sz="0" w:space="0" w:color="auto"/>
                <w:right w:val="none" w:sz="0" w:space="0" w:color="auto"/>
              </w:divBdr>
            </w:div>
            <w:div w:id="9797385">
              <w:marLeft w:val="300"/>
              <w:marRight w:val="150"/>
              <w:marTop w:val="75"/>
              <w:marBottom w:val="0"/>
              <w:divBdr>
                <w:top w:val="none" w:sz="0" w:space="0" w:color="auto"/>
                <w:left w:val="none" w:sz="0" w:space="0" w:color="auto"/>
                <w:bottom w:val="none" w:sz="0" w:space="0" w:color="auto"/>
                <w:right w:val="none" w:sz="0" w:space="0" w:color="auto"/>
              </w:divBdr>
            </w:div>
          </w:divsChild>
        </w:div>
        <w:div w:id="1244922164">
          <w:marLeft w:val="0"/>
          <w:marRight w:val="0"/>
          <w:marTop w:val="75"/>
          <w:marBottom w:val="150"/>
          <w:divBdr>
            <w:top w:val="none" w:sz="0" w:space="0" w:color="auto"/>
            <w:left w:val="none" w:sz="0" w:space="0" w:color="auto"/>
            <w:bottom w:val="none" w:sz="0" w:space="0" w:color="auto"/>
            <w:right w:val="none" w:sz="0" w:space="0" w:color="auto"/>
          </w:divBdr>
        </w:div>
      </w:divsChild>
    </w:div>
    <w:div w:id="1478765229">
      <w:bodyDiv w:val="1"/>
      <w:marLeft w:val="0"/>
      <w:marRight w:val="0"/>
      <w:marTop w:val="0"/>
      <w:marBottom w:val="0"/>
      <w:divBdr>
        <w:top w:val="none" w:sz="0" w:space="0" w:color="auto"/>
        <w:left w:val="none" w:sz="0" w:space="0" w:color="auto"/>
        <w:bottom w:val="none" w:sz="0" w:space="0" w:color="auto"/>
        <w:right w:val="none" w:sz="0" w:space="0" w:color="auto"/>
      </w:divBdr>
      <w:divsChild>
        <w:div w:id="720516810">
          <w:marLeft w:val="0"/>
          <w:marRight w:val="0"/>
          <w:marTop w:val="150"/>
          <w:marBottom w:val="150"/>
          <w:divBdr>
            <w:top w:val="none" w:sz="0" w:space="0" w:color="auto"/>
            <w:left w:val="none" w:sz="0" w:space="0" w:color="auto"/>
            <w:bottom w:val="single" w:sz="6" w:space="0" w:color="CCCCCC"/>
            <w:right w:val="none" w:sz="0" w:space="0" w:color="auto"/>
          </w:divBdr>
          <w:divsChild>
            <w:div w:id="1300724859">
              <w:marLeft w:val="0"/>
              <w:marRight w:val="0"/>
              <w:marTop w:val="0"/>
              <w:marBottom w:val="0"/>
              <w:divBdr>
                <w:top w:val="none" w:sz="0" w:space="0" w:color="auto"/>
                <w:left w:val="none" w:sz="0" w:space="0" w:color="auto"/>
                <w:bottom w:val="none" w:sz="0" w:space="0" w:color="auto"/>
                <w:right w:val="none" w:sz="0" w:space="0" w:color="auto"/>
              </w:divBdr>
            </w:div>
          </w:divsChild>
        </w:div>
        <w:div w:id="857162079">
          <w:marLeft w:val="0"/>
          <w:marRight w:val="0"/>
          <w:marTop w:val="0"/>
          <w:marBottom w:val="0"/>
          <w:divBdr>
            <w:top w:val="none" w:sz="0" w:space="0" w:color="auto"/>
            <w:left w:val="none" w:sz="0" w:space="0" w:color="auto"/>
            <w:bottom w:val="none" w:sz="0" w:space="0" w:color="auto"/>
            <w:right w:val="none" w:sz="0" w:space="0" w:color="auto"/>
          </w:divBdr>
          <w:divsChild>
            <w:div w:id="199829016">
              <w:marLeft w:val="75"/>
              <w:marRight w:val="150"/>
              <w:marTop w:val="45"/>
              <w:marBottom w:val="75"/>
              <w:divBdr>
                <w:top w:val="none" w:sz="0" w:space="0" w:color="auto"/>
                <w:left w:val="none" w:sz="0" w:space="0" w:color="auto"/>
                <w:bottom w:val="none" w:sz="0" w:space="0" w:color="auto"/>
                <w:right w:val="none" w:sz="0" w:space="0" w:color="auto"/>
              </w:divBdr>
            </w:div>
            <w:div w:id="62729118">
              <w:marLeft w:val="300"/>
              <w:marRight w:val="150"/>
              <w:marTop w:val="75"/>
              <w:marBottom w:val="0"/>
              <w:divBdr>
                <w:top w:val="none" w:sz="0" w:space="0" w:color="auto"/>
                <w:left w:val="none" w:sz="0" w:space="0" w:color="auto"/>
                <w:bottom w:val="none" w:sz="0" w:space="0" w:color="auto"/>
                <w:right w:val="none" w:sz="0" w:space="0" w:color="auto"/>
              </w:divBdr>
            </w:div>
            <w:div w:id="1951624538">
              <w:marLeft w:val="300"/>
              <w:marRight w:val="150"/>
              <w:marTop w:val="75"/>
              <w:marBottom w:val="0"/>
              <w:divBdr>
                <w:top w:val="none" w:sz="0" w:space="0" w:color="auto"/>
                <w:left w:val="none" w:sz="0" w:space="0" w:color="auto"/>
                <w:bottom w:val="none" w:sz="0" w:space="0" w:color="auto"/>
                <w:right w:val="none" w:sz="0" w:space="0" w:color="auto"/>
              </w:divBdr>
            </w:div>
          </w:divsChild>
        </w:div>
        <w:div w:id="1900243124">
          <w:marLeft w:val="0"/>
          <w:marRight w:val="0"/>
          <w:marTop w:val="75"/>
          <w:marBottom w:val="150"/>
          <w:divBdr>
            <w:top w:val="none" w:sz="0" w:space="0" w:color="auto"/>
            <w:left w:val="none" w:sz="0" w:space="0" w:color="auto"/>
            <w:bottom w:val="none" w:sz="0" w:space="0" w:color="auto"/>
            <w:right w:val="none" w:sz="0" w:space="0" w:color="auto"/>
          </w:divBdr>
          <w:divsChild>
            <w:div w:id="17901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9095">
      <w:bodyDiv w:val="1"/>
      <w:marLeft w:val="0"/>
      <w:marRight w:val="0"/>
      <w:marTop w:val="0"/>
      <w:marBottom w:val="0"/>
      <w:divBdr>
        <w:top w:val="none" w:sz="0" w:space="0" w:color="auto"/>
        <w:left w:val="none" w:sz="0" w:space="0" w:color="auto"/>
        <w:bottom w:val="none" w:sz="0" w:space="0" w:color="auto"/>
        <w:right w:val="none" w:sz="0" w:space="0" w:color="auto"/>
      </w:divBdr>
      <w:divsChild>
        <w:div w:id="1091703359">
          <w:marLeft w:val="0"/>
          <w:marRight w:val="0"/>
          <w:marTop w:val="150"/>
          <w:marBottom w:val="150"/>
          <w:divBdr>
            <w:top w:val="none" w:sz="0" w:space="0" w:color="auto"/>
            <w:left w:val="none" w:sz="0" w:space="0" w:color="auto"/>
            <w:bottom w:val="single" w:sz="6" w:space="0" w:color="CCCCCC"/>
            <w:right w:val="none" w:sz="0" w:space="0" w:color="auto"/>
          </w:divBdr>
          <w:divsChild>
            <w:div w:id="98766590">
              <w:marLeft w:val="0"/>
              <w:marRight w:val="0"/>
              <w:marTop w:val="0"/>
              <w:marBottom w:val="0"/>
              <w:divBdr>
                <w:top w:val="none" w:sz="0" w:space="0" w:color="auto"/>
                <w:left w:val="none" w:sz="0" w:space="0" w:color="auto"/>
                <w:bottom w:val="none" w:sz="0" w:space="0" w:color="auto"/>
                <w:right w:val="none" w:sz="0" w:space="0" w:color="auto"/>
              </w:divBdr>
            </w:div>
          </w:divsChild>
        </w:div>
        <w:div w:id="286081292">
          <w:marLeft w:val="0"/>
          <w:marRight w:val="0"/>
          <w:marTop w:val="0"/>
          <w:marBottom w:val="0"/>
          <w:divBdr>
            <w:top w:val="none" w:sz="0" w:space="0" w:color="auto"/>
            <w:left w:val="none" w:sz="0" w:space="0" w:color="auto"/>
            <w:bottom w:val="none" w:sz="0" w:space="0" w:color="auto"/>
            <w:right w:val="none" w:sz="0" w:space="0" w:color="auto"/>
          </w:divBdr>
          <w:divsChild>
            <w:div w:id="218984531">
              <w:marLeft w:val="75"/>
              <w:marRight w:val="150"/>
              <w:marTop w:val="45"/>
              <w:marBottom w:val="75"/>
              <w:divBdr>
                <w:top w:val="none" w:sz="0" w:space="0" w:color="auto"/>
                <w:left w:val="none" w:sz="0" w:space="0" w:color="auto"/>
                <w:bottom w:val="none" w:sz="0" w:space="0" w:color="auto"/>
                <w:right w:val="none" w:sz="0" w:space="0" w:color="auto"/>
              </w:divBdr>
            </w:div>
            <w:div w:id="917859598">
              <w:marLeft w:val="300"/>
              <w:marRight w:val="150"/>
              <w:marTop w:val="75"/>
              <w:marBottom w:val="0"/>
              <w:divBdr>
                <w:top w:val="none" w:sz="0" w:space="0" w:color="auto"/>
                <w:left w:val="none" w:sz="0" w:space="0" w:color="auto"/>
                <w:bottom w:val="none" w:sz="0" w:space="0" w:color="auto"/>
                <w:right w:val="none" w:sz="0" w:space="0" w:color="auto"/>
              </w:divBdr>
            </w:div>
            <w:div w:id="1662654146">
              <w:marLeft w:val="300"/>
              <w:marRight w:val="150"/>
              <w:marTop w:val="75"/>
              <w:marBottom w:val="0"/>
              <w:divBdr>
                <w:top w:val="none" w:sz="0" w:space="0" w:color="auto"/>
                <w:left w:val="none" w:sz="0" w:space="0" w:color="auto"/>
                <w:bottom w:val="none" w:sz="0" w:space="0" w:color="auto"/>
                <w:right w:val="none" w:sz="0" w:space="0" w:color="auto"/>
              </w:divBdr>
            </w:div>
          </w:divsChild>
        </w:div>
        <w:div w:id="600727365">
          <w:marLeft w:val="0"/>
          <w:marRight w:val="0"/>
          <w:marTop w:val="75"/>
          <w:marBottom w:val="150"/>
          <w:divBdr>
            <w:top w:val="none" w:sz="0" w:space="0" w:color="auto"/>
            <w:left w:val="none" w:sz="0" w:space="0" w:color="auto"/>
            <w:bottom w:val="none" w:sz="0" w:space="0" w:color="auto"/>
            <w:right w:val="none" w:sz="0" w:space="0" w:color="auto"/>
          </w:divBdr>
          <w:divsChild>
            <w:div w:id="1105033862">
              <w:marLeft w:val="0"/>
              <w:marRight w:val="0"/>
              <w:marTop w:val="45"/>
              <w:marBottom w:val="0"/>
              <w:divBdr>
                <w:top w:val="none" w:sz="0" w:space="0" w:color="auto"/>
                <w:left w:val="single" w:sz="48" w:space="0" w:color="FFFFFF"/>
                <w:bottom w:val="single" w:sz="48" w:space="0" w:color="FFFFFF"/>
                <w:right w:val="none" w:sz="0" w:space="0" w:color="auto"/>
              </w:divBdr>
              <w:divsChild>
                <w:div w:id="152563498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2072582063">
      <w:bodyDiv w:val="1"/>
      <w:marLeft w:val="0"/>
      <w:marRight w:val="0"/>
      <w:marTop w:val="0"/>
      <w:marBottom w:val="0"/>
      <w:divBdr>
        <w:top w:val="none" w:sz="0" w:space="0" w:color="auto"/>
        <w:left w:val="none" w:sz="0" w:space="0" w:color="auto"/>
        <w:bottom w:val="none" w:sz="0" w:space="0" w:color="auto"/>
        <w:right w:val="none" w:sz="0" w:space="0" w:color="auto"/>
      </w:divBdr>
      <w:divsChild>
        <w:div w:id="1358116575">
          <w:marLeft w:val="0"/>
          <w:marRight w:val="0"/>
          <w:marTop w:val="150"/>
          <w:marBottom w:val="150"/>
          <w:divBdr>
            <w:top w:val="none" w:sz="0" w:space="0" w:color="auto"/>
            <w:left w:val="none" w:sz="0" w:space="0" w:color="auto"/>
            <w:bottom w:val="single" w:sz="6" w:space="0" w:color="CCCCCC"/>
            <w:right w:val="none" w:sz="0" w:space="0" w:color="auto"/>
          </w:divBdr>
          <w:divsChild>
            <w:div w:id="1697074710">
              <w:marLeft w:val="0"/>
              <w:marRight w:val="0"/>
              <w:marTop w:val="0"/>
              <w:marBottom w:val="0"/>
              <w:divBdr>
                <w:top w:val="none" w:sz="0" w:space="0" w:color="auto"/>
                <w:left w:val="none" w:sz="0" w:space="0" w:color="auto"/>
                <w:bottom w:val="none" w:sz="0" w:space="0" w:color="auto"/>
                <w:right w:val="none" w:sz="0" w:space="0" w:color="auto"/>
              </w:divBdr>
            </w:div>
          </w:divsChild>
        </w:div>
        <w:div w:id="93746333">
          <w:marLeft w:val="0"/>
          <w:marRight w:val="0"/>
          <w:marTop w:val="0"/>
          <w:marBottom w:val="0"/>
          <w:divBdr>
            <w:top w:val="none" w:sz="0" w:space="0" w:color="auto"/>
            <w:left w:val="none" w:sz="0" w:space="0" w:color="auto"/>
            <w:bottom w:val="none" w:sz="0" w:space="0" w:color="auto"/>
            <w:right w:val="none" w:sz="0" w:space="0" w:color="auto"/>
          </w:divBdr>
          <w:divsChild>
            <w:div w:id="561020134">
              <w:marLeft w:val="75"/>
              <w:marRight w:val="150"/>
              <w:marTop w:val="45"/>
              <w:marBottom w:val="75"/>
              <w:divBdr>
                <w:top w:val="none" w:sz="0" w:space="0" w:color="auto"/>
                <w:left w:val="none" w:sz="0" w:space="0" w:color="auto"/>
                <w:bottom w:val="none" w:sz="0" w:space="0" w:color="auto"/>
                <w:right w:val="none" w:sz="0" w:space="0" w:color="auto"/>
              </w:divBdr>
            </w:div>
            <w:div w:id="812526802">
              <w:marLeft w:val="300"/>
              <w:marRight w:val="150"/>
              <w:marTop w:val="75"/>
              <w:marBottom w:val="0"/>
              <w:divBdr>
                <w:top w:val="none" w:sz="0" w:space="0" w:color="auto"/>
                <w:left w:val="none" w:sz="0" w:space="0" w:color="auto"/>
                <w:bottom w:val="none" w:sz="0" w:space="0" w:color="auto"/>
                <w:right w:val="none" w:sz="0" w:space="0" w:color="auto"/>
              </w:divBdr>
            </w:div>
            <w:div w:id="383142924">
              <w:marLeft w:val="300"/>
              <w:marRight w:val="150"/>
              <w:marTop w:val="75"/>
              <w:marBottom w:val="0"/>
              <w:divBdr>
                <w:top w:val="none" w:sz="0" w:space="0" w:color="auto"/>
                <w:left w:val="none" w:sz="0" w:space="0" w:color="auto"/>
                <w:bottom w:val="none" w:sz="0" w:space="0" w:color="auto"/>
                <w:right w:val="none" w:sz="0" w:space="0" w:color="auto"/>
              </w:divBdr>
            </w:div>
          </w:divsChild>
        </w:div>
        <w:div w:id="1530295437">
          <w:marLeft w:val="0"/>
          <w:marRight w:val="0"/>
          <w:marTop w:val="75"/>
          <w:marBottom w:val="150"/>
          <w:divBdr>
            <w:top w:val="none" w:sz="0" w:space="0" w:color="auto"/>
            <w:left w:val="none" w:sz="0" w:space="0" w:color="auto"/>
            <w:bottom w:val="none" w:sz="0" w:space="0" w:color="auto"/>
            <w:right w:val="none" w:sz="0" w:space="0" w:color="auto"/>
          </w:divBdr>
          <w:divsChild>
            <w:div w:id="614604319">
              <w:marLeft w:val="0"/>
              <w:marRight w:val="0"/>
              <w:marTop w:val="45"/>
              <w:marBottom w:val="0"/>
              <w:divBdr>
                <w:top w:val="none" w:sz="0" w:space="0" w:color="auto"/>
                <w:left w:val="single" w:sz="48" w:space="0" w:color="FFFFFF"/>
                <w:bottom w:val="single" w:sz="48" w:space="0" w:color="FFFFFF"/>
                <w:right w:val="none" w:sz="0" w:space="0" w:color="auto"/>
              </w:divBdr>
              <w:divsChild>
                <w:div w:id="138833413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direttoriali/decreto-dipartimentale-2608-del-7-dicembre-2023-progetto-di-sperimentazione-per-l-istituzione-di-una-filiera-formativa-integrata-nell-ambito-tecnologico-professionale.flc" TargetMode="External"/><Relationship Id="rId13" Type="http://schemas.openxmlformats.org/officeDocument/2006/relationships/hyperlink" Target="https://www.flcgil.it/scuola/sperimentazione-filiera-formativa-tecnologico-professionale-cspi-boccia-provvedimento.flc" TargetMode="External"/><Relationship Id="rId3" Type="http://schemas.openxmlformats.org/officeDocument/2006/relationships/settings" Target="settings.xml"/><Relationship Id="rId7" Type="http://schemas.openxmlformats.org/officeDocument/2006/relationships/hyperlink" Target="https://www.flcgil.it/leggi-normative/documenti/decreti-ministeriali/decreto-ministeriale-240-del-7-dicembre-2023-progetto-nazionale-di-sperimentazione-per-l-istituzione-della-filiera-formativa-tecnologico-professionale.flc" TargetMode="External"/><Relationship Id="rId12" Type="http://schemas.openxmlformats.org/officeDocument/2006/relationships/hyperlink" Target="https://www.flcgil.it/scuola/scuola-filiera-tecnologico-professionale-e-riordino-istituti-tecnici-diretta-streaming.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scuola/i-modesti-anticipi-destinati-al-personale-della-scuola-per-il-rinnovo-del-ccnl-2022-2024.flc" TargetMode="External"/><Relationship Id="rId11" Type="http://schemas.openxmlformats.org/officeDocument/2006/relationships/hyperlink" Target="https://www.flcgil.it/scuola/sperimentazione-della-filiera-tecnologico-professionale-cgil-ed-flc-contrarie-alla-forzatura-per-decreto.flc" TargetMode="External"/><Relationship Id="rId5" Type="http://schemas.openxmlformats.org/officeDocument/2006/relationships/hyperlink" Target="https://www.flcgil.it/leggi-normative/documenti/decreti-legge/decreto-legge-145-del-18-ottobre-2023-misure-urgenti-in-materia-economica-e-fiscale-in-favore-degli-enti-territoriali-a-tutela-del-lavoro-e-per-esigenze-indifferibili.flc" TargetMode="External"/><Relationship Id="rId15" Type="http://schemas.openxmlformats.org/officeDocument/2006/relationships/theme" Target="theme/theme1.xml"/><Relationship Id="rId10" Type="http://schemas.openxmlformats.org/officeDocument/2006/relationships/hyperlink" Target="https://www.flcgil.it/comunicati-stampa/flc/scuola-riforma-valditara-della-secondaria-di-secondo-grado-cgil-e-flc-il-governo-ritiri-una-proposta-dannosa-per-gli-alunni-e-le-alunne-e-per-l-intero-paese.flc" TargetMode="External"/><Relationship Id="rId4" Type="http://schemas.openxmlformats.org/officeDocument/2006/relationships/webSettings" Target="webSettings.xml"/><Relationship Id="rId9" Type="http://schemas.openxmlformats.org/officeDocument/2006/relationships/hyperlink" Target="https://www.flcgil.it/leggi-normative/documenti/decreti-direttoriali/decreto-dipartimentale-2608-del-7-dicembre-2023-allegati.flc"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5</Pages>
  <Words>2888</Words>
  <Characters>16466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2023-12-15T08:00:00Z</dcterms:created>
  <dcterms:modified xsi:type="dcterms:W3CDTF">2023-12-15T16:40:00Z</dcterms:modified>
</cp:coreProperties>
</file>