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A876" w14:textId="77777777" w:rsidR="00AF3031" w:rsidRPr="00A904D9" w:rsidRDefault="00AF3031" w:rsidP="00AF3031">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904D9">
        <w:rPr>
          <w:rFonts w:ascii="Tahoma" w:eastAsia="Times New Roman" w:hAnsi="Tahoma" w:cs="Tahoma"/>
          <w:color w:val="DC3B33"/>
          <w:kern w:val="36"/>
          <w:sz w:val="45"/>
          <w:szCs w:val="45"/>
          <w:lang w:eastAsia="it-IT"/>
          <w14:ligatures w14:val="none"/>
        </w:rPr>
        <w:t xml:space="preserve">Liceo del made in </w:t>
      </w:r>
      <w:proofErr w:type="spellStart"/>
      <w:r w:rsidRPr="00A904D9">
        <w:rPr>
          <w:rFonts w:ascii="Tahoma" w:eastAsia="Times New Roman" w:hAnsi="Tahoma" w:cs="Tahoma"/>
          <w:color w:val="DC3B33"/>
          <w:kern w:val="36"/>
          <w:sz w:val="45"/>
          <w:szCs w:val="45"/>
          <w:lang w:eastAsia="it-IT"/>
          <w14:ligatures w14:val="none"/>
        </w:rPr>
        <w:t>Italy</w:t>
      </w:r>
      <w:proofErr w:type="spellEnd"/>
      <w:r w:rsidRPr="00A904D9">
        <w:rPr>
          <w:rFonts w:ascii="Tahoma" w:eastAsia="Times New Roman" w:hAnsi="Tahoma" w:cs="Tahoma"/>
          <w:color w:val="DC3B33"/>
          <w:kern w:val="36"/>
          <w:sz w:val="45"/>
          <w:szCs w:val="45"/>
          <w:lang w:eastAsia="it-IT"/>
          <w14:ligatures w14:val="none"/>
        </w:rPr>
        <w:t>: il secondo flop del Ministro Valditara</w:t>
      </w:r>
    </w:p>
    <w:p w14:paraId="397277E8" w14:textId="77777777" w:rsidR="00AF3031" w:rsidRPr="00A904D9" w:rsidRDefault="00AF3031" w:rsidP="00AF303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904D9">
        <w:rPr>
          <w:rFonts w:ascii="Arial" w:eastAsia="Times New Roman" w:hAnsi="Arial" w:cs="Arial"/>
          <w:color w:val="535353"/>
          <w:kern w:val="0"/>
          <w:sz w:val="27"/>
          <w:szCs w:val="27"/>
          <w:lang w:eastAsia="it-IT"/>
          <w14:ligatures w14:val="none"/>
        </w:rPr>
        <w:t>Inseriti su piattaforma Unica i pochi corsi disponibili per le iscrizioni. Tra pressioni e resistenze, si parte comunque con un salto nel buio.</w:t>
      </w:r>
    </w:p>
    <w:p w14:paraId="776ECC3B" w14:textId="77777777" w:rsidR="00AF3031" w:rsidRPr="00A904D9" w:rsidRDefault="00AF3031" w:rsidP="00AF3031">
      <w:pPr>
        <w:shd w:val="clear" w:color="auto" w:fill="FFFFFF"/>
        <w:spacing w:after="0" w:line="240" w:lineRule="auto"/>
        <w:rPr>
          <w:rFonts w:ascii="Arial" w:eastAsia="Times New Roman" w:hAnsi="Arial" w:cs="Arial"/>
          <w:color w:val="4D4D4D"/>
          <w:kern w:val="0"/>
          <w:sz w:val="21"/>
          <w:szCs w:val="21"/>
          <w:lang w:eastAsia="it-IT"/>
          <w14:ligatures w14:val="none"/>
        </w:rPr>
      </w:pPr>
      <w:r w:rsidRPr="00A904D9">
        <w:rPr>
          <w:rFonts w:ascii="Arial" w:eastAsia="Times New Roman" w:hAnsi="Arial" w:cs="Arial"/>
          <w:b/>
          <w:bCs/>
          <w:color w:val="4D4D4D"/>
          <w:kern w:val="0"/>
          <w:sz w:val="21"/>
          <w:szCs w:val="21"/>
          <w:lang w:eastAsia="it-IT"/>
          <w14:ligatures w14:val="none"/>
        </w:rPr>
        <w:t>24/01/2024</w:t>
      </w:r>
    </w:p>
    <w:p w14:paraId="709DE22D" w14:textId="77777777" w:rsidR="00AF3031"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3FAC42B" w14:textId="77777777" w:rsidR="00AF3031" w:rsidRPr="00A904D9"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Dal 23 gennaio 2024 </w:t>
      </w:r>
      <w:hyperlink r:id="rId5" w:history="1">
        <w:r w:rsidRPr="00A904D9">
          <w:rPr>
            <w:rFonts w:ascii="Arial" w:eastAsia="Times New Roman" w:hAnsi="Arial" w:cs="Arial"/>
            <w:color w:val="005EB3"/>
            <w:kern w:val="0"/>
            <w:sz w:val="21"/>
            <w:szCs w:val="21"/>
            <w:u w:val="single"/>
            <w:lang w:eastAsia="it-IT"/>
            <w14:ligatures w14:val="none"/>
          </w:rPr>
          <w:t>sono stati inseriti</w:t>
        </w:r>
      </w:hyperlink>
      <w:r w:rsidRPr="00A904D9">
        <w:rPr>
          <w:rFonts w:ascii="Arial" w:eastAsia="Times New Roman" w:hAnsi="Arial" w:cs="Arial"/>
          <w:color w:val="000000"/>
          <w:kern w:val="0"/>
          <w:sz w:val="21"/>
          <w:szCs w:val="21"/>
          <w:lang w:eastAsia="it-IT"/>
          <w14:ligatures w14:val="none"/>
        </w:rPr>
        <w:t xml:space="preserve"> su Unica, la piattaforma del Ministero dell’Istruzione per le iscrizioni, i 92 corsi di Liceo del Made in </w:t>
      </w:r>
      <w:proofErr w:type="spellStart"/>
      <w:r w:rsidRPr="00A904D9">
        <w:rPr>
          <w:rFonts w:ascii="Arial" w:eastAsia="Times New Roman" w:hAnsi="Arial" w:cs="Arial"/>
          <w:color w:val="000000"/>
          <w:kern w:val="0"/>
          <w:sz w:val="21"/>
          <w:szCs w:val="21"/>
          <w:lang w:eastAsia="it-IT"/>
          <w14:ligatures w14:val="none"/>
        </w:rPr>
        <w:t>Italy</w:t>
      </w:r>
      <w:proofErr w:type="spellEnd"/>
      <w:r w:rsidRPr="00A904D9">
        <w:rPr>
          <w:rFonts w:ascii="Arial" w:eastAsia="Times New Roman" w:hAnsi="Arial" w:cs="Arial"/>
          <w:color w:val="000000"/>
          <w:kern w:val="0"/>
          <w:sz w:val="21"/>
          <w:szCs w:val="21"/>
          <w:lang w:eastAsia="it-IT"/>
          <w14:ligatures w14:val="none"/>
        </w:rPr>
        <w:t xml:space="preserve"> disponibili nelle diverse regioni d'Italia: 17 in Sicilia; 12 in Lombardia; 12 nel Lazio; 9 in Puglia; 8 nelle Marche; 8 in Calabria; 6 in Abruzzo; 5 in Toscana; 3 in Liguria; 3 in Piemonte; 3 in Veneto; 2 in Molise; 1 in Basilicata; 1 in Emilia Romagna; 1 in Sardegna; 1 in Umbria. Mentre in Trentino, Valle d’Aosta e Friuli non vi sono state adesioni, la Regione Campania ha posto rilievi rispetto alla mancanza di prospettive chiare e non ha autorizzato le scuole richiedenti. Tra le 92 adesioni, 75 sono istituzioni statali e ben 17 provengono da scuole paritarie, queste ultime concentrate in Lazio 5, Lombardia 5, Marche 4 e 1 in Piemonte, 1 in Toscana e 1 in Veneto.</w:t>
      </w:r>
    </w:p>
    <w:p w14:paraId="76448E25" w14:textId="77777777" w:rsidR="00AF3031" w:rsidRPr="00A904D9"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b/>
          <w:bCs/>
          <w:color w:val="000000"/>
          <w:kern w:val="0"/>
          <w:sz w:val="21"/>
          <w:szCs w:val="21"/>
          <w:lang w:eastAsia="it-IT"/>
          <w14:ligatures w14:val="none"/>
        </w:rPr>
        <w:t>Il Ministro Valditara ha fatto ricorso a qualunque tipo di pressione per favorire il successo di questo indirizzo</w:t>
      </w:r>
      <w:r w:rsidRPr="00A904D9">
        <w:rPr>
          <w:rFonts w:ascii="Arial" w:eastAsia="Times New Roman" w:hAnsi="Arial" w:cs="Arial"/>
          <w:color w:val="000000"/>
          <w:kern w:val="0"/>
          <w:sz w:val="21"/>
          <w:szCs w:val="21"/>
          <w:lang w:eastAsia="it-IT"/>
          <w14:ligatures w14:val="none"/>
        </w:rPr>
        <w:t>, già a partire dalla prima stesura della legge che, è bene ricordarlo, inizialmente prevedeva </w:t>
      </w:r>
      <w:hyperlink r:id="rId6" w:tgtFrame="_blank" w:history="1">
        <w:r w:rsidRPr="00A904D9">
          <w:rPr>
            <w:rFonts w:ascii="Arial" w:eastAsia="Times New Roman" w:hAnsi="Arial" w:cs="Arial"/>
            <w:color w:val="005EB3"/>
            <w:kern w:val="0"/>
            <w:sz w:val="21"/>
            <w:szCs w:val="21"/>
            <w:u w:val="single"/>
            <w:lang w:eastAsia="it-IT"/>
            <w14:ligatures w14:val="none"/>
          </w:rPr>
          <w:t>la soppressione dell'opzione economico sociale</w:t>
        </w:r>
      </w:hyperlink>
      <w:r w:rsidRPr="00A904D9">
        <w:rPr>
          <w:rFonts w:ascii="Arial" w:eastAsia="Times New Roman" w:hAnsi="Arial" w:cs="Arial"/>
          <w:color w:val="000000"/>
          <w:kern w:val="0"/>
          <w:sz w:val="21"/>
          <w:szCs w:val="21"/>
          <w:lang w:eastAsia="it-IT"/>
          <w14:ligatures w14:val="none"/>
        </w:rPr>
        <w:t> del liceo delle scienze sociali. Successivamente il Ministero, che ha indetto </w:t>
      </w:r>
      <w:r w:rsidRPr="00A904D9">
        <w:rPr>
          <w:rFonts w:ascii="Arial" w:eastAsia="Times New Roman" w:hAnsi="Arial" w:cs="Arial"/>
          <w:b/>
          <w:bCs/>
          <w:color w:val="000000"/>
          <w:kern w:val="0"/>
          <w:sz w:val="21"/>
          <w:szCs w:val="21"/>
          <w:lang w:eastAsia="it-IT"/>
          <w14:ligatures w14:val="none"/>
        </w:rPr>
        <w:t>numerose conferenze di servizio</w:t>
      </w:r>
      <w:r w:rsidRPr="00A904D9">
        <w:rPr>
          <w:rFonts w:ascii="Arial" w:eastAsia="Times New Roman" w:hAnsi="Arial" w:cs="Arial"/>
          <w:color w:val="000000"/>
          <w:kern w:val="0"/>
          <w:sz w:val="21"/>
          <w:szCs w:val="21"/>
          <w:lang w:eastAsia="it-IT"/>
          <w14:ligatures w14:val="none"/>
        </w:rPr>
        <w:t> finalizzate a informare i dirigenti scolastici sulle novità del nuovo percorso, dapprima ha dovuto autorizzare la </w:t>
      </w:r>
      <w:r w:rsidRPr="00A904D9">
        <w:rPr>
          <w:rFonts w:ascii="Arial" w:eastAsia="Times New Roman" w:hAnsi="Arial" w:cs="Arial"/>
          <w:b/>
          <w:bCs/>
          <w:color w:val="000000"/>
          <w:kern w:val="0"/>
          <w:sz w:val="21"/>
          <w:szCs w:val="21"/>
          <w:lang w:eastAsia="it-IT"/>
          <w14:ligatures w14:val="none"/>
        </w:rPr>
        <w:t>proroga dei termini per la presentazione delle delibere</w:t>
      </w:r>
      <w:r w:rsidRPr="00A904D9">
        <w:rPr>
          <w:rFonts w:ascii="Arial" w:eastAsia="Times New Roman" w:hAnsi="Arial" w:cs="Arial"/>
          <w:color w:val="000000"/>
          <w:kern w:val="0"/>
          <w:sz w:val="21"/>
          <w:szCs w:val="21"/>
          <w:lang w:eastAsia="it-IT"/>
          <w14:ligatures w14:val="none"/>
        </w:rPr>
        <w:t>, per poi essere costretto a </w:t>
      </w:r>
      <w:r w:rsidRPr="00A904D9">
        <w:rPr>
          <w:rFonts w:ascii="Arial" w:eastAsia="Times New Roman" w:hAnsi="Arial" w:cs="Arial"/>
          <w:b/>
          <w:bCs/>
          <w:color w:val="000000"/>
          <w:kern w:val="0"/>
          <w:sz w:val="21"/>
          <w:szCs w:val="21"/>
          <w:lang w:eastAsia="it-IT"/>
          <w14:ligatures w14:val="none"/>
        </w:rPr>
        <w:t xml:space="preserve">far slittare al 23 gennaio il primo giorno di iscrizione al liceo del made in </w:t>
      </w:r>
      <w:proofErr w:type="spellStart"/>
      <w:r w:rsidRPr="00A904D9">
        <w:rPr>
          <w:rFonts w:ascii="Arial" w:eastAsia="Times New Roman" w:hAnsi="Arial" w:cs="Arial"/>
          <w:b/>
          <w:bCs/>
          <w:color w:val="000000"/>
          <w:kern w:val="0"/>
          <w:sz w:val="21"/>
          <w:szCs w:val="21"/>
          <w:lang w:eastAsia="it-IT"/>
          <w14:ligatures w14:val="none"/>
        </w:rPr>
        <w:t>Italy</w:t>
      </w:r>
      <w:proofErr w:type="spellEnd"/>
      <w:r w:rsidRPr="00A904D9">
        <w:rPr>
          <w:rFonts w:ascii="Arial" w:eastAsia="Times New Roman" w:hAnsi="Arial" w:cs="Arial"/>
          <w:color w:val="000000"/>
          <w:kern w:val="0"/>
          <w:sz w:val="21"/>
          <w:szCs w:val="21"/>
          <w:lang w:eastAsia="it-IT"/>
          <w14:ligatures w14:val="none"/>
        </w:rPr>
        <w:t>, previsto per tutti gli altri al 18 gennaio 2024.</w:t>
      </w:r>
    </w:p>
    <w:p w14:paraId="3F0E0A44" w14:textId="77777777" w:rsidR="00AF3031" w:rsidRPr="00A904D9"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Anche a fronte di tante incertezze, </w:t>
      </w:r>
      <w:r w:rsidRPr="00A904D9">
        <w:rPr>
          <w:rFonts w:ascii="Arial" w:eastAsia="Times New Roman" w:hAnsi="Arial" w:cs="Arial"/>
          <w:b/>
          <w:bCs/>
          <w:color w:val="000000"/>
          <w:kern w:val="0"/>
          <w:sz w:val="21"/>
          <w:szCs w:val="21"/>
          <w:lang w:eastAsia="it-IT"/>
          <w14:ligatures w14:val="none"/>
        </w:rPr>
        <w:t>i Collegi dei docenti hanno temuto di deliberare l'attivazione di questo nuovo indirizzo per due fondamentali motivi</w:t>
      </w:r>
      <w:r w:rsidRPr="00A904D9">
        <w:rPr>
          <w:rFonts w:ascii="Arial" w:eastAsia="Times New Roman" w:hAnsi="Arial" w:cs="Arial"/>
          <w:color w:val="000000"/>
          <w:kern w:val="0"/>
          <w:sz w:val="21"/>
          <w:szCs w:val="21"/>
          <w:lang w:eastAsia="it-IT"/>
          <w14:ligatures w14:val="none"/>
        </w:rPr>
        <w:t>:</w:t>
      </w:r>
    </w:p>
    <w:p w14:paraId="18ACB10A" w14:textId="77777777" w:rsidR="00AF3031" w:rsidRPr="00A904D9" w:rsidRDefault="00AF3031" w:rsidP="00AF3031">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04D9">
        <w:rPr>
          <w:rFonts w:ascii="Arial" w:eastAsia="Times New Roman" w:hAnsi="Arial" w:cs="Arial"/>
          <w:color w:val="000000"/>
          <w:kern w:val="0"/>
          <w:sz w:val="23"/>
          <w:szCs w:val="23"/>
          <w:lang w:eastAsia="it-IT"/>
          <w14:ligatures w14:val="none"/>
        </w:rPr>
        <w:t>in primo luogo</w:t>
      </w:r>
      <w:r w:rsidRPr="00A904D9">
        <w:rPr>
          <w:rFonts w:ascii="Arial" w:eastAsia="Times New Roman" w:hAnsi="Arial" w:cs="Arial"/>
          <w:b/>
          <w:bCs/>
          <w:color w:val="000000"/>
          <w:kern w:val="0"/>
          <w:sz w:val="23"/>
          <w:szCs w:val="23"/>
          <w:lang w:eastAsia="it-IT"/>
          <w14:ligatures w14:val="none"/>
        </w:rPr>
        <w:t>, i licei delle scienze umane</w:t>
      </w:r>
      <w:r w:rsidRPr="00A904D9">
        <w:rPr>
          <w:rFonts w:ascii="Arial" w:eastAsia="Times New Roman" w:hAnsi="Arial" w:cs="Arial"/>
          <w:color w:val="000000"/>
          <w:kern w:val="0"/>
          <w:sz w:val="23"/>
          <w:szCs w:val="23"/>
          <w:lang w:eastAsia="it-IT"/>
          <w14:ligatures w14:val="none"/>
        </w:rPr>
        <w:t>, gli unici autorizzati almeno per l’anno scolastico 2024/25 a richiedere l’istituzione nuovo indirizzo, </w:t>
      </w:r>
      <w:r w:rsidRPr="00A904D9">
        <w:rPr>
          <w:rFonts w:ascii="Arial" w:eastAsia="Times New Roman" w:hAnsi="Arial" w:cs="Arial"/>
          <w:b/>
          <w:bCs/>
          <w:color w:val="000000"/>
          <w:kern w:val="0"/>
          <w:sz w:val="23"/>
          <w:szCs w:val="23"/>
          <w:lang w:eastAsia="it-IT"/>
          <w14:ligatures w14:val="none"/>
        </w:rPr>
        <w:t xml:space="preserve">sono stati obbligati, contestualmente, a sopprimere un corso di liceo economico sociale per ogni nuova attivazione di liceo del made in </w:t>
      </w:r>
      <w:proofErr w:type="spellStart"/>
      <w:r w:rsidRPr="00A904D9">
        <w:rPr>
          <w:rFonts w:ascii="Arial" w:eastAsia="Times New Roman" w:hAnsi="Arial" w:cs="Arial"/>
          <w:b/>
          <w:bCs/>
          <w:color w:val="000000"/>
          <w:kern w:val="0"/>
          <w:sz w:val="23"/>
          <w:szCs w:val="23"/>
          <w:lang w:eastAsia="it-IT"/>
          <w14:ligatures w14:val="none"/>
        </w:rPr>
        <w:t>Italy</w:t>
      </w:r>
      <w:proofErr w:type="spellEnd"/>
      <w:r w:rsidRPr="00A904D9">
        <w:rPr>
          <w:rFonts w:ascii="Arial" w:eastAsia="Times New Roman" w:hAnsi="Arial" w:cs="Arial"/>
          <w:b/>
          <w:bCs/>
          <w:color w:val="000000"/>
          <w:kern w:val="0"/>
          <w:sz w:val="23"/>
          <w:szCs w:val="23"/>
          <w:lang w:eastAsia="it-IT"/>
          <w14:ligatures w14:val="none"/>
        </w:rPr>
        <w:t xml:space="preserve"> autorizzata;</w:t>
      </w:r>
    </w:p>
    <w:p w14:paraId="34109A69" w14:textId="77777777" w:rsidR="00AF3031" w:rsidRPr="00A904D9" w:rsidRDefault="00AF3031" w:rsidP="00AF3031">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04D9">
        <w:rPr>
          <w:rFonts w:ascii="Arial" w:eastAsia="Times New Roman" w:hAnsi="Arial" w:cs="Arial"/>
          <w:color w:val="000000"/>
          <w:kern w:val="0"/>
          <w:sz w:val="23"/>
          <w:szCs w:val="23"/>
          <w:lang w:eastAsia="it-IT"/>
          <w14:ligatures w14:val="none"/>
        </w:rPr>
        <w:t>in secondo luogo, </w:t>
      </w:r>
      <w:r w:rsidRPr="00A904D9">
        <w:rPr>
          <w:rFonts w:ascii="Arial" w:eastAsia="Times New Roman" w:hAnsi="Arial" w:cs="Arial"/>
          <w:b/>
          <w:bCs/>
          <w:color w:val="000000"/>
          <w:kern w:val="0"/>
          <w:sz w:val="23"/>
          <w:szCs w:val="23"/>
          <w:lang w:eastAsia="it-IT"/>
          <w14:ligatures w14:val="none"/>
        </w:rPr>
        <w:t>l'incompletezza della proposta formativa e dei relativi piani orario del triennio</w:t>
      </w:r>
      <w:r w:rsidRPr="00A904D9">
        <w:rPr>
          <w:rFonts w:ascii="Arial" w:eastAsia="Times New Roman" w:hAnsi="Arial" w:cs="Arial"/>
          <w:color w:val="000000"/>
          <w:kern w:val="0"/>
          <w:sz w:val="23"/>
          <w:szCs w:val="23"/>
          <w:lang w:eastAsia="it-IT"/>
          <w14:ligatures w14:val="none"/>
        </w:rPr>
        <w:t>, ha determinato un clima di </w:t>
      </w:r>
      <w:r w:rsidRPr="00A904D9">
        <w:rPr>
          <w:rFonts w:ascii="Arial" w:eastAsia="Times New Roman" w:hAnsi="Arial" w:cs="Arial"/>
          <w:b/>
          <w:bCs/>
          <w:color w:val="000000"/>
          <w:kern w:val="0"/>
          <w:sz w:val="23"/>
          <w:szCs w:val="23"/>
          <w:lang w:eastAsia="it-IT"/>
          <w14:ligatures w14:val="none"/>
        </w:rPr>
        <w:t>incertezza anche relativamente alla salvaguardia degli organici</w:t>
      </w:r>
      <w:r w:rsidRPr="00A904D9">
        <w:rPr>
          <w:rFonts w:ascii="Arial" w:eastAsia="Times New Roman" w:hAnsi="Arial" w:cs="Arial"/>
          <w:color w:val="000000"/>
          <w:kern w:val="0"/>
          <w:sz w:val="23"/>
          <w:szCs w:val="23"/>
          <w:lang w:eastAsia="it-IT"/>
          <w14:ligatures w14:val="none"/>
        </w:rPr>
        <w:t>.</w:t>
      </w:r>
    </w:p>
    <w:p w14:paraId="7C007672" w14:textId="77777777" w:rsidR="00AF3031" w:rsidRPr="00A904D9"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b/>
          <w:bCs/>
          <w:color w:val="000000"/>
          <w:kern w:val="0"/>
          <w:sz w:val="21"/>
          <w:szCs w:val="21"/>
          <w:lang w:eastAsia="it-IT"/>
          <w14:ligatures w14:val="none"/>
        </w:rPr>
        <w:t>Come FLC CGIL </w:t>
      </w:r>
      <w:hyperlink r:id="rId7" w:tgtFrame="_blank" w:history="1">
        <w:r w:rsidRPr="00A904D9">
          <w:rPr>
            <w:rFonts w:ascii="Arial" w:eastAsia="Times New Roman" w:hAnsi="Arial" w:cs="Arial"/>
            <w:b/>
            <w:bCs/>
            <w:color w:val="005EB3"/>
            <w:kern w:val="0"/>
            <w:sz w:val="21"/>
            <w:szCs w:val="21"/>
            <w:lang w:eastAsia="it-IT"/>
            <w14:ligatures w14:val="none"/>
          </w:rPr>
          <w:t>abbiamo contrastato</w:t>
        </w:r>
      </w:hyperlink>
      <w:r w:rsidRPr="00A904D9">
        <w:rPr>
          <w:rFonts w:ascii="Arial" w:eastAsia="Times New Roman" w:hAnsi="Arial" w:cs="Arial"/>
          <w:b/>
          <w:bCs/>
          <w:color w:val="000000"/>
          <w:kern w:val="0"/>
          <w:sz w:val="21"/>
          <w:szCs w:val="21"/>
          <w:lang w:eastAsia="it-IT"/>
          <w14:ligatures w14:val="none"/>
        </w:rPr>
        <w:t> questo progetto </w:t>
      </w:r>
      <w:hyperlink r:id="rId8" w:tgtFrame="_blank" w:history="1">
        <w:r w:rsidRPr="00A904D9">
          <w:rPr>
            <w:rFonts w:ascii="Arial" w:eastAsia="Times New Roman" w:hAnsi="Arial" w:cs="Arial"/>
            <w:b/>
            <w:bCs/>
            <w:color w:val="005EB3"/>
            <w:kern w:val="0"/>
            <w:sz w:val="21"/>
            <w:szCs w:val="21"/>
            <w:lang w:eastAsia="it-IT"/>
            <w14:ligatures w14:val="none"/>
          </w:rPr>
          <w:t>sin dal suo esordio</w:t>
        </w:r>
      </w:hyperlink>
      <w:r w:rsidRPr="00A904D9">
        <w:rPr>
          <w:rFonts w:ascii="Arial" w:eastAsia="Times New Roman" w:hAnsi="Arial" w:cs="Arial"/>
          <w:color w:val="000000"/>
          <w:kern w:val="0"/>
          <w:sz w:val="21"/>
          <w:szCs w:val="21"/>
          <w:lang w:eastAsia="it-IT"/>
          <w14:ligatures w14:val="none"/>
        </w:rPr>
        <w:t>, annunciato direttamente dalla Presidente Meloni in occasione della 55esima edizione di Vinitaly a Verona, perché determina la dispersione dell’importante patrimonio culturale e professionale rappresentato dal Liceo economico sociale che ha sviluppato un profilo formativo caratterizzato da competenze particolarmente avanzate negli studi afferenti alle scienze giuridiche, economiche e sociali. Inoltre, sul piano prettamente sindacale, siamo preoccupati per il destino di quei docenti le cui cattedre subiranno la diminuzione delle ore di insegnamento oltre che per il coinvolgimento diretto delle aziende nel co-progettare i percorsi formativi come previsto anche con l’istituzione della Fondazione “Imprese e competenze”. Consideriamo pericolosa, infine, l’opportunità attribuita alla Fondazione di ricevere finanziamenti da soggetti pubblici e privati perché ciò produrrà una immediata differenziazione dell’offerta formativa tra istituti anche in base al contesto territoriale di appartenenza.</w:t>
      </w:r>
    </w:p>
    <w:p w14:paraId="38CCFE7B" w14:textId="77777777" w:rsidR="00AF3031" w:rsidRPr="00A904D9"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b/>
          <w:bCs/>
          <w:color w:val="000000"/>
          <w:kern w:val="0"/>
          <w:sz w:val="21"/>
          <w:szCs w:val="21"/>
          <w:lang w:eastAsia="it-IT"/>
          <w14:ligatures w14:val="none"/>
        </w:rPr>
        <w:t xml:space="preserve">La volontà del ministro Valditara di forzare per l’avvio del liceo del made in </w:t>
      </w:r>
      <w:proofErr w:type="spellStart"/>
      <w:r w:rsidRPr="00A904D9">
        <w:rPr>
          <w:rFonts w:ascii="Arial" w:eastAsia="Times New Roman" w:hAnsi="Arial" w:cs="Arial"/>
          <w:b/>
          <w:bCs/>
          <w:color w:val="000000"/>
          <w:kern w:val="0"/>
          <w:sz w:val="21"/>
          <w:szCs w:val="21"/>
          <w:lang w:eastAsia="it-IT"/>
          <w14:ligatures w14:val="none"/>
        </w:rPr>
        <w:t>Italy</w:t>
      </w:r>
      <w:proofErr w:type="spellEnd"/>
      <w:r w:rsidRPr="00A904D9">
        <w:rPr>
          <w:rFonts w:ascii="Arial" w:eastAsia="Times New Roman" w:hAnsi="Arial" w:cs="Arial"/>
          <w:b/>
          <w:bCs/>
          <w:color w:val="000000"/>
          <w:kern w:val="0"/>
          <w:sz w:val="21"/>
          <w:szCs w:val="21"/>
          <w:lang w:eastAsia="it-IT"/>
          <w14:ligatures w14:val="none"/>
        </w:rPr>
        <w:t xml:space="preserve"> costituisce l’ennesimo tentativo di declinare metodologie e contenuti didattici funzionali rispetto al mercato del lavoro e al sistema delle imprese che le scuole hanno chiaramente rispedito al mittente</w:t>
      </w:r>
      <w:r w:rsidRPr="00A904D9">
        <w:rPr>
          <w:rFonts w:ascii="Arial" w:eastAsia="Times New Roman" w:hAnsi="Arial" w:cs="Arial"/>
          <w:color w:val="000000"/>
          <w:kern w:val="0"/>
          <w:sz w:val="21"/>
          <w:szCs w:val="21"/>
          <w:lang w:eastAsia="it-IT"/>
          <w14:ligatures w14:val="none"/>
        </w:rPr>
        <w:t>.</w:t>
      </w:r>
    </w:p>
    <w:p w14:paraId="5BE1AA9A" w14:textId="77777777" w:rsidR="00AF3031" w:rsidRDefault="00AF3031" w:rsidP="00A904D9">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17860124" w14:textId="77777777" w:rsidR="00AF3031" w:rsidRPr="00C1662F" w:rsidRDefault="00AF3031" w:rsidP="00AF3031">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C1662F">
        <w:rPr>
          <w:rFonts w:ascii="Tahoma" w:eastAsia="Times New Roman" w:hAnsi="Tahoma" w:cs="Tahoma"/>
          <w:color w:val="DC3B33"/>
          <w:kern w:val="36"/>
          <w:sz w:val="45"/>
          <w:szCs w:val="45"/>
          <w:lang w:eastAsia="it-IT"/>
          <w14:ligatures w14:val="none"/>
        </w:rPr>
        <w:lastRenderedPageBreak/>
        <w:t>Percorsi formativi abilitanti: il decreto con i contingenti e criteri di selezione dei tutor</w:t>
      </w:r>
    </w:p>
    <w:p w14:paraId="0AE6934E" w14:textId="77777777" w:rsidR="00AF3031" w:rsidRPr="00C1662F" w:rsidRDefault="00AF3031" w:rsidP="00AF303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1662F">
        <w:rPr>
          <w:rFonts w:ascii="Arial" w:eastAsia="Times New Roman" w:hAnsi="Arial" w:cs="Arial"/>
          <w:color w:val="535353"/>
          <w:kern w:val="0"/>
          <w:sz w:val="27"/>
          <w:szCs w:val="27"/>
          <w:lang w:eastAsia="it-IT"/>
          <w14:ligatures w14:val="none"/>
        </w:rPr>
        <w:t>Pubblicato il decreto interministeriale che definisce criteri e posti per i tutor coordinatori e i tutor di tirocinio dei corsi abilitanti della secondaria.</w:t>
      </w:r>
    </w:p>
    <w:p w14:paraId="4AADC6EA" w14:textId="77777777" w:rsidR="00AF3031" w:rsidRPr="00C1662F" w:rsidRDefault="00AF3031" w:rsidP="00AF3031">
      <w:pPr>
        <w:shd w:val="clear" w:color="auto" w:fill="FFFFFF"/>
        <w:spacing w:after="0" w:line="240" w:lineRule="auto"/>
        <w:rPr>
          <w:rFonts w:ascii="Arial" w:eastAsia="Times New Roman" w:hAnsi="Arial" w:cs="Arial"/>
          <w:color w:val="4D4D4D"/>
          <w:kern w:val="0"/>
          <w:sz w:val="21"/>
          <w:szCs w:val="21"/>
          <w:lang w:eastAsia="it-IT"/>
          <w14:ligatures w14:val="none"/>
        </w:rPr>
      </w:pPr>
      <w:r w:rsidRPr="00C1662F">
        <w:rPr>
          <w:rFonts w:ascii="Arial" w:eastAsia="Times New Roman" w:hAnsi="Arial" w:cs="Arial"/>
          <w:b/>
          <w:bCs/>
          <w:color w:val="4D4D4D"/>
          <w:kern w:val="0"/>
          <w:sz w:val="21"/>
          <w:szCs w:val="21"/>
          <w:lang w:eastAsia="it-IT"/>
          <w14:ligatures w14:val="none"/>
        </w:rPr>
        <w:t>22/01/2024</w:t>
      </w:r>
    </w:p>
    <w:p w14:paraId="07B4E5F7" w14:textId="77777777" w:rsidR="00AF3031"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1E6D7DF"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Lo scorso 28 dicembre 2023 è stato</w:t>
      </w:r>
      <w:r w:rsidRPr="00C1662F">
        <w:rPr>
          <w:rFonts w:ascii="Arial" w:eastAsia="Times New Roman" w:hAnsi="Arial" w:cs="Arial"/>
          <w:b/>
          <w:bCs/>
          <w:color w:val="000000"/>
          <w:kern w:val="0"/>
          <w:sz w:val="21"/>
          <w:szCs w:val="21"/>
          <w:lang w:eastAsia="it-IT"/>
          <w14:ligatures w14:val="none"/>
        </w:rPr>
        <w:t> pubblicato il </w:t>
      </w:r>
      <w:hyperlink r:id="rId9" w:tgtFrame="_blank" w:history="1">
        <w:r w:rsidRPr="00C1662F">
          <w:rPr>
            <w:rFonts w:ascii="Arial" w:eastAsia="Times New Roman" w:hAnsi="Arial" w:cs="Arial"/>
            <w:b/>
            <w:bCs/>
            <w:color w:val="005EB3"/>
            <w:kern w:val="0"/>
            <w:sz w:val="21"/>
            <w:szCs w:val="21"/>
            <w:u w:val="single"/>
            <w:lang w:eastAsia="it-IT"/>
            <w14:ligatures w14:val="none"/>
          </w:rPr>
          <w:t>Decreto Interministeriale 256</w:t>
        </w:r>
      </w:hyperlink>
      <w:r w:rsidRPr="00C1662F">
        <w:rPr>
          <w:rFonts w:ascii="Arial" w:eastAsia="Times New Roman" w:hAnsi="Arial" w:cs="Arial"/>
          <w:b/>
          <w:bCs/>
          <w:color w:val="000000"/>
          <w:kern w:val="0"/>
          <w:sz w:val="21"/>
          <w:szCs w:val="21"/>
          <w:lang w:eastAsia="it-IT"/>
          <w14:ligatures w14:val="none"/>
        </w:rPr>
        <w:t> </w:t>
      </w:r>
      <w:r w:rsidRPr="00C1662F">
        <w:rPr>
          <w:rFonts w:ascii="Arial" w:eastAsia="Times New Roman" w:hAnsi="Arial" w:cs="Arial"/>
          <w:color w:val="000000"/>
          <w:kern w:val="0"/>
          <w:sz w:val="21"/>
          <w:szCs w:val="21"/>
          <w:lang w:eastAsia="it-IT"/>
          <w14:ligatures w14:val="none"/>
        </w:rPr>
        <w:t>che definisce</w:t>
      </w:r>
      <w:r w:rsidRPr="00C1662F">
        <w:rPr>
          <w:rFonts w:ascii="Arial" w:eastAsia="Times New Roman" w:hAnsi="Arial" w:cs="Arial"/>
          <w:b/>
          <w:bCs/>
          <w:color w:val="000000"/>
          <w:kern w:val="0"/>
          <w:sz w:val="21"/>
          <w:szCs w:val="21"/>
          <w:lang w:eastAsia="it-IT"/>
          <w14:ligatures w14:val="none"/>
        </w:rPr>
        <w:t> il contingente e i criteri per la selezione dei docenti della scuola secondaria interessati a svolgere i compiti di tutor nei percorsi abilitanti di formazione iniziale.</w:t>
      </w:r>
    </w:p>
    <w:p w14:paraId="4FF4671E"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Si tratta di due diverse tipologie di incarico: il </w:t>
      </w:r>
      <w:r w:rsidRPr="00C1662F">
        <w:rPr>
          <w:rFonts w:ascii="Arial" w:eastAsia="Times New Roman" w:hAnsi="Arial" w:cs="Arial"/>
          <w:b/>
          <w:bCs/>
          <w:color w:val="000000"/>
          <w:kern w:val="0"/>
          <w:sz w:val="21"/>
          <w:szCs w:val="21"/>
          <w:lang w:eastAsia="it-IT"/>
          <w14:ligatures w14:val="none"/>
        </w:rPr>
        <w:t>tutor coordinatore e il tutor dei tirocinanti</w:t>
      </w:r>
      <w:r w:rsidRPr="00C1662F">
        <w:rPr>
          <w:rFonts w:ascii="Arial" w:eastAsia="Times New Roman" w:hAnsi="Arial" w:cs="Arial"/>
          <w:color w:val="000000"/>
          <w:kern w:val="0"/>
          <w:sz w:val="21"/>
          <w:szCs w:val="21"/>
          <w:lang w:eastAsia="it-IT"/>
          <w14:ligatures w14:val="none"/>
        </w:rPr>
        <w:t>. In entrambi i casi i tutor sono individuati tra i docenti in servizio presso le scuole secondarie di I e II grado.</w:t>
      </w:r>
    </w:p>
    <w:p w14:paraId="6E24D352"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Tutor coordinatori</w:t>
      </w:r>
      <w:r w:rsidRPr="00C1662F">
        <w:rPr>
          <w:rFonts w:ascii="Arial" w:eastAsia="Times New Roman" w:hAnsi="Arial" w:cs="Arial"/>
          <w:color w:val="000000"/>
          <w:kern w:val="0"/>
          <w:sz w:val="21"/>
          <w:szCs w:val="21"/>
          <w:lang w:eastAsia="it-IT"/>
          <w14:ligatures w14:val="none"/>
        </w:rPr>
        <w:t>. Svolgono la loro attività presso i centri che erogano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offerta formativa, hanno il compito di coordinare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 xml:space="preserve">attività dei tutor, assegnare i tirocinanti ai gruppi-classe a alle scuole, curare la documentazione prodotta per la costruzione </w:t>
      </w:r>
      <w:proofErr w:type="spellStart"/>
      <w:r w:rsidRPr="00C1662F">
        <w:rPr>
          <w:rFonts w:ascii="Arial" w:eastAsia="Times New Roman" w:hAnsi="Arial" w:cs="Arial"/>
          <w:color w:val="000000"/>
          <w:kern w:val="0"/>
          <w:sz w:val="21"/>
          <w:szCs w:val="21"/>
          <w:lang w:eastAsia="it-IT"/>
          <w14:ligatures w14:val="none"/>
        </w:rPr>
        <w:t>dell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e-portfolio, </w:t>
      </w:r>
      <w:r w:rsidRPr="00C1662F">
        <w:rPr>
          <w:rFonts w:ascii="Arial" w:eastAsia="Times New Roman" w:hAnsi="Arial" w:cs="Arial"/>
          <w:b/>
          <w:bCs/>
          <w:color w:val="000000"/>
          <w:kern w:val="0"/>
          <w:sz w:val="21"/>
          <w:szCs w:val="21"/>
          <w:lang w:eastAsia="it-IT"/>
          <w14:ligatures w14:val="none"/>
        </w:rPr>
        <w:t xml:space="preserve">possono fruire </w:t>
      </w:r>
      <w:proofErr w:type="spellStart"/>
      <w:r w:rsidRPr="00C1662F">
        <w:rPr>
          <w:rFonts w:ascii="Arial" w:eastAsia="Times New Roman" w:hAnsi="Arial" w:cs="Arial"/>
          <w:b/>
          <w:bCs/>
          <w:color w:val="000000"/>
          <w:kern w:val="0"/>
          <w:sz w:val="21"/>
          <w:szCs w:val="21"/>
          <w:lang w:eastAsia="it-IT"/>
          <w14:ligatures w14:val="none"/>
        </w:rPr>
        <w:t>dell</w:t>
      </w:r>
      <w:proofErr w:type="spellEnd"/>
      <w:r w:rsidRPr="00C1662F">
        <w:rPr>
          <w:rFonts w:ascii="Arial" w:eastAsia="Times New Roman" w:hAnsi="Arial" w:cs="Arial"/>
          <w:b/>
          <w:bCs/>
          <w:color w:val="000000"/>
          <w:kern w:val="0"/>
          <w:sz w:val="21"/>
          <w:szCs w:val="21"/>
          <w:rtl/>
          <w:lang w:eastAsia="it-IT"/>
          <w14:ligatures w14:val="none"/>
        </w:rPr>
        <w:t>’</w:t>
      </w:r>
      <w:r w:rsidRPr="00C1662F">
        <w:rPr>
          <w:rFonts w:ascii="Arial" w:eastAsia="Times New Roman" w:hAnsi="Arial" w:cs="Arial"/>
          <w:b/>
          <w:bCs/>
          <w:color w:val="000000"/>
          <w:kern w:val="0"/>
          <w:sz w:val="21"/>
          <w:szCs w:val="21"/>
          <w:lang w:eastAsia="it-IT"/>
          <w14:ligatures w14:val="none"/>
        </w:rPr>
        <w:t xml:space="preserve">esonero o del semi esonero fino al 50% </w:t>
      </w:r>
      <w:proofErr w:type="spellStart"/>
      <w:r w:rsidRPr="00C1662F">
        <w:rPr>
          <w:rFonts w:ascii="Arial" w:eastAsia="Times New Roman" w:hAnsi="Arial" w:cs="Arial"/>
          <w:b/>
          <w:bCs/>
          <w:color w:val="000000"/>
          <w:kern w:val="0"/>
          <w:sz w:val="21"/>
          <w:szCs w:val="21"/>
          <w:lang w:eastAsia="it-IT"/>
          <w14:ligatures w14:val="none"/>
        </w:rPr>
        <w:t>dall</w:t>
      </w:r>
      <w:proofErr w:type="spellEnd"/>
      <w:r w:rsidRPr="00C1662F">
        <w:rPr>
          <w:rFonts w:ascii="Arial" w:eastAsia="Times New Roman" w:hAnsi="Arial" w:cs="Arial"/>
          <w:b/>
          <w:bCs/>
          <w:color w:val="000000"/>
          <w:kern w:val="0"/>
          <w:sz w:val="21"/>
          <w:szCs w:val="21"/>
          <w:rtl/>
          <w:lang w:eastAsia="it-IT"/>
          <w14:ligatures w14:val="none"/>
        </w:rPr>
        <w:t>’</w:t>
      </w:r>
      <w:r w:rsidRPr="00C1662F">
        <w:rPr>
          <w:rFonts w:ascii="Arial" w:eastAsia="Times New Roman" w:hAnsi="Arial" w:cs="Arial"/>
          <w:b/>
          <w:bCs/>
          <w:color w:val="000000"/>
          <w:kern w:val="0"/>
          <w:sz w:val="21"/>
          <w:szCs w:val="21"/>
          <w:lang w:eastAsia="it-IT"/>
          <w14:ligatures w14:val="none"/>
        </w:rPr>
        <w:t>insegnamento</w:t>
      </w:r>
      <w:r w:rsidRPr="00C1662F">
        <w:rPr>
          <w:rFonts w:ascii="Arial" w:eastAsia="Times New Roman" w:hAnsi="Arial" w:cs="Arial"/>
          <w:color w:val="000000"/>
          <w:kern w:val="0"/>
          <w:sz w:val="21"/>
          <w:szCs w:val="21"/>
          <w:lang w:eastAsia="it-IT"/>
          <w14:ligatures w14:val="none"/>
        </w:rPr>
        <w:t>. </w:t>
      </w:r>
      <w:r w:rsidRPr="00C1662F">
        <w:rPr>
          <w:rFonts w:ascii="Arial" w:eastAsia="Times New Roman" w:hAnsi="Arial" w:cs="Arial"/>
          <w:b/>
          <w:bCs/>
          <w:color w:val="000000"/>
          <w:kern w:val="0"/>
          <w:sz w:val="21"/>
          <w:szCs w:val="21"/>
          <w:lang w:eastAsia="it-IT"/>
          <w14:ligatures w14:val="none"/>
        </w:rPr>
        <w:t>L</w:t>
      </w:r>
      <w:r w:rsidRPr="00C1662F">
        <w:rPr>
          <w:rFonts w:ascii="Arial" w:eastAsia="Times New Roman" w:hAnsi="Arial" w:cs="Arial"/>
          <w:b/>
          <w:bCs/>
          <w:color w:val="000000"/>
          <w:kern w:val="0"/>
          <w:sz w:val="21"/>
          <w:szCs w:val="21"/>
          <w:rtl/>
          <w:lang w:eastAsia="it-IT"/>
          <w14:ligatures w14:val="none"/>
        </w:rPr>
        <w:t>’</w:t>
      </w:r>
      <w:r w:rsidRPr="00C1662F">
        <w:rPr>
          <w:rFonts w:ascii="Arial" w:eastAsia="Times New Roman" w:hAnsi="Arial" w:cs="Arial"/>
          <w:b/>
          <w:bCs/>
          <w:color w:val="000000"/>
          <w:kern w:val="0"/>
          <w:sz w:val="21"/>
          <w:szCs w:val="21"/>
          <w:lang w:eastAsia="it-IT"/>
          <w14:ligatures w14:val="none"/>
        </w:rPr>
        <w:t>incarico ha durata quadriennale</w:t>
      </w:r>
      <w:r w:rsidRPr="00C1662F">
        <w:rPr>
          <w:rFonts w:ascii="Arial" w:eastAsia="Times New Roman" w:hAnsi="Arial" w:cs="Arial"/>
          <w:color w:val="000000"/>
          <w:kern w:val="0"/>
          <w:sz w:val="21"/>
          <w:szCs w:val="21"/>
          <w:lang w:eastAsia="it-IT"/>
          <w14:ligatures w14:val="none"/>
        </w:rPr>
        <w:t xml:space="preserve">, prorogabile per un anno e rinnovabile, non consecutivamente, per una volta. Entro il 31 maggio di ciascun anno, con apposito decreto ministeriale, tenuto conto </w:t>
      </w:r>
      <w:proofErr w:type="spellStart"/>
      <w:r w:rsidRPr="00C1662F">
        <w:rPr>
          <w:rFonts w:ascii="Arial" w:eastAsia="Times New Roman" w:hAnsi="Arial" w:cs="Arial"/>
          <w:color w:val="000000"/>
          <w:kern w:val="0"/>
          <w:sz w:val="21"/>
          <w:szCs w:val="21"/>
          <w:lang w:eastAsia="it-IT"/>
          <w14:ligatures w14:val="none"/>
        </w:rPr>
        <w:t>dell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offerta formativa, viene assegnato il contingente dei tutor coordinatori, determinato in un massimo di 1.588 unità di esoneri totali o di 3.176 unità di semiesoneri, viene assegnato agli Uffici Scolastici Regionali che procedono alla distribuzione tra sedi e classi di concorso. </w:t>
      </w:r>
      <w:r w:rsidRPr="00C1662F">
        <w:rPr>
          <w:rFonts w:ascii="Arial" w:eastAsia="Times New Roman" w:hAnsi="Arial" w:cs="Arial"/>
          <w:b/>
          <w:bCs/>
          <w:color w:val="000000"/>
          <w:kern w:val="0"/>
          <w:sz w:val="21"/>
          <w:szCs w:val="21"/>
          <w:lang w:eastAsia="it-IT"/>
          <w14:ligatures w14:val="none"/>
        </w:rPr>
        <w:t>È prevista la sostituzione del personale in esonero o semi esonero</w:t>
      </w:r>
      <w:r w:rsidRPr="00C1662F">
        <w:rPr>
          <w:rFonts w:ascii="Arial" w:eastAsia="Times New Roman" w:hAnsi="Arial" w:cs="Arial"/>
          <w:color w:val="000000"/>
          <w:kern w:val="0"/>
          <w:sz w:val="21"/>
          <w:szCs w:val="21"/>
          <w:lang w:eastAsia="it-IT"/>
          <w14:ligatures w14:val="none"/>
        </w:rPr>
        <w:t xml:space="preserve"> con supplenze fino al termine delle attività didattiche. Limitatamente </w:t>
      </w:r>
      <w:proofErr w:type="spellStart"/>
      <w:r w:rsidRPr="00C1662F">
        <w:rPr>
          <w:rFonts w:ascii="Arial" w:eastAsia="Times New Roman" w:hAnsi="Arial" w:cs="Arial"/>
          <w:color w:val="000000"/>
          <w:kern w:val="0"/>
          <w:sz w:val="21"/>
          <w:szCs w:val="21"/>
          <w:lang w:eastAsia="it-IT"/>
          <w14:ligatures w14:val="none"/>
        </w:rPr>
        <w:t>all</w:t>
      </w:r>
      <w:proofErr w:type="spellEnd"/>
      <w:r w:rsidRPr="00C1662F">
        <w:rPr>
          <w:rFonts w:ascii="Arial" w:eastAsia="Times New Roman" w:hAnsi="Arial" w:cs="Arial"/>
          <w:color w:val="000000"/>
          <w:kern w:val="0"/>
          <w:sz w:val="21"/>
          <w:szCs w:val="21"/>
          <w:rtl/>
          <w:lang w:eastAsia="it-IT"/>
          <w14:ligatures w14:val="none"/>
        </w:rPr>
        <w:t>’</w:t>
      </w:r>
      <w:proofErr w:type="spellStart"/>
      <w:r w:rsidRPr="00C1662F">
        <w:rPr>
          <w:rFonts w:ascii="Arial" w:eastAsia="Times New Roman" w:hAnsi="Arial" w:cs="Arial"/>
          <w:color w:val="000000"/>
          <w:kern w:val="0"/>
          <w:sz w:val="21"/>
          <w:szCs w:val="21"/>
          <w:lang w:eastAsia="it-IT"/>
          <w14:ligatures w14:val="none"/>
        </w:rPr>
        <w:t>a.s.</w:t>
      </w:r>
      <w:proofErr w:type="spellEnd"/>
      <w:r w:rsidRPr="00C1662F">
        <w:rPr>
          <w:rFonts w:ascii="Arial" w:eastAsia="Times New Roman" w:hAnsi="Arial" w:cs="Arial"/>
          <w:color w:val="000000"/>
          <w:kern w:val="0"/>
          <w:sz w:val="21"/>
          <w:szCs w:val="21"/>
          <w:lang w:eastAsia="it-IT"/>
          <w14:ligatures w14:val="none"/>
        </w:rPr>
        <w:t xml:space="preserve"> 2023/24, trattandosi di incarichi con decorrenza dal mese di gennaio, si provvede con supplenze temporanee. Per gli istituti contrattuali si fa riferimento al CCNL istruzione e ricerca vigente. L'istituzione scolastica di titolarità mantiene la gestione complessiva di tutte le questioni inerenti </w:t>
      </w:r>
      <w:proofErr w:type="gramStart"/>
      <w:r w:rsidRPr="00C1662F">
        <w:rPr>
          <w:rFonts w:ascii="Arial" w:eastAsia="Times New Roman" w:hAnsi="Arial" w:cs="Arial"/>
          <w:color w:val="000000"/>
          <w:kern w:val="0"/>
          <w:sz w:val="21"/>
          <w:szCs w:val="21"/>
          <w:lang w:eastAsia="it-IT"/>
          <w14:ligatures w14:val="none"/>
        </w:rPr>
        <w:t>lo</w:t>
      </w:r>
      <w:proofErr w:type="gramEnd"/>
      <w:r w:rsidRPr="00C1662F">
        <w:rPr>
          <w:rFonts w:ascii="Arial" w:eastAsia="Times New Roman" w:hAnsi="Arial" w:cs="Arial"/>
          <w:color w:val="000000"/>
          <w:kern w:val="0"/>
          <w:sz w:val="21"/>
          <w:szCs w:val="21"/>
          <w:lang w:eastAsia="it-IT"/>
          <w14:ligatures w14:val="none"/>
        </w:rPr>
        <w:t xml:space="preserve"> stato giuridico ed economico del docente in esonero o semi esonero.</w:t>
      </w:r>
    </w:p>
    <w:p w14:paraId="15CBE06F"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Selezione dei tutor coordinatori</w:t>
      </w:r>
    </w:p>
    <w:p w14:paraId="496DCEAD"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I tutor coordinatori sono selezionati dai centri che erogano i corsi abilitanti con appositi bandi</w:t>
      </w:r>
      <w:r w:rsidRPr="00C1662F">
        <w:rPr>
          <w:rFonts w:ascii="Arial" w:eastAsia="Times New Roman" w:hAnsi="Arial" w:cs="Arial"/>
          <w:color w:val="000000"/>
          <w:kern w:val="0"/>
          <w:sz w:val="21"/>
          <w:szCs w:val="21"/>
          <w:lang w:eastAsia="it-IT"/>
          <w14:ligatures w14:val="none"/>
        </w:rPr>
        <w:t>. La commissione di valutazione, nominata dalla competente autorità accademica, sulla base della Tabella di valutazione dei titoli dei Tutor Coordinatori allegata al Decreto Interministeriale attribuisce a ogni candidato un punteggio.</w:t>
      </w:r>
    </w:p>
    <w:p w14:paraId="149EA036"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Colloquio di valutazione: la graduatoria di assegnazione dei posti messi a bando è costituita a seguito di un colloquio a cura della commissione di valutazione con intervista strutturata allo scopo di saggiare le spinte motivazionali, le capacità di organizzazione, di relazione con i docenti e con le autorità scolastiche e verificare il progetto di lavoro degli aspiranti. Si tiene inoltre conto del percorso professionale del docente e di ogni informazione utile a valutarne la congruità rispetto al ruolo di tutor coordinatore. Il colloquio deve essere rivolto ad un numero di candidati non superiore al doppio rispetto ai posti disponibili, identificati attraverso la graduatoria risultante dalla sommatoria delle valutazioni dei titoli.</w:t>
      </w:r>
    </w:p>
    <w:p w14:paraId="2474F788"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Tutor dei tirocinanti</w:t>
      </w:r>
      <w:r w:rsidRPr="00C1662F">
        <w:rPr>
          <w:rFonts w:ascii="Arial" w:eastAsia="Times New Roman" w:hAnsi="Arial" w:cs="Arial"/>
          <w:color w:val="000000"/>
          <w:kern w:val="0"/>
          <w:sz w:val="21"/>
          <w:szCs w:val="21"/>
          <w:lang w:eastAsia="it-IT"/>
          <w14:ligatures w14:val="none"/>
        </w:rPr>
        <w:t>. Operano nelle scuole per orientare, accompagnare e monitorare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attività dei tirocinanti. Sono </w:t>
      </w:r>
      <w:r w:rsidRPr="00C1662F">
        <w:rPr>
          <w:rFonts w:ascii="Arial" w:eastAsia="Times New Roman" w:hAnsi="Arial" w:cs="Arial"/>
          <w:b/>
          <w:bCs/>
          <w:color w:val="000000"/>
          <w:kern w:val="0"/>
          <w:sz w:val="21"/>
          <w:szCs w:val="21"/>
          <w:lang w:eastAsia="it-IT"/>
          <w14:ligatures w14:val="none"/>
        </w:rPr>
        <w:t>individuati e nominati dai dirigenti scolastici</w:t>
      </w:r>
      <w:r w:rsidRPr="00C1662F">
        <w:rPr>
          <w:rFonts w:ascii="Arial" w:eastAsia="Times New Roman" w:hAnsi="Arial" w:cs="Arial"/>
          <w:color w:val="000000"/>
          <w:kern w:val="0"/>
          <w:sz w:val="21"/>
          <w:szCs w:val="21"/>
          <w:lang w:eastAsia="it-IT"/>
          <w14:ligatures w14:val="none"/>
        </w:rPr>
        <w:t> delle istituzioni scolastiche interessate </w:t>
      </w:r>
      <w:r w:rsidRPr="00C1662F">
        <w:rPr>
          <w:rFonts w:ascii="Arial" w:eastAsia="Times New Roman" w:hAnsi="Arial" w:cs="Arial"/>
          <w:b/>
          <w:bCs/>
          <w:color w:val="000000"/>
          <w:kern w:val="0"/>
          <w:sz w:val="21"/>
          <w:szCs w:val="21"/>
          <w:lang w:eastAsia="it-IT"/>
          <w14:ligatures w14:val="none"/>
        </w:rPr>
        <w:t>tra i docenti a tempo indeterminato con almeno cinque anni di servizio</w:t>
      </w:r>
      <w:r w:rsidRPr="00C1662F">
        <w:rPr>
          <w:rFonts w:ascii="Arial" w:eastAsia="Times New Roman" w:hAnsi="Arial" w:cs="Arial"/>
          <w:color w:val="000000"/>
          <w:kern w:val="0"/>
          <w:sz w:val="21"/>
          <w:szCs w:val="21"/>
          <w:lang w:eastAsia="it-IT"/>
          <w14:ligatures w14:val="none"/>
        </w:rPr>
        <w:t> d'insegnamento.</w:t>
      </w:r>
    </w:p>
    <w:p w14:paraId="3648F3EC"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Selezione dei tutor dei tirocinanti</w:t>
      </w:r>
    </w:p>
    <w:p w14:paraId="27C28492"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 xml:space="preserve">L'esame ai candidati per l'assegnazione di compiti tutoriali è svolto dal comitato per la valutazione del servizio dei docenti (art. 11 del decreto legislativo 16 aprile 1994, n. 297).  È previsto un colloquio con intervista strutturata allo scopo di saggiare le spinte motivazionali, approfondire i titoli presentati e verificare il progetto di lavoro degli aspiranti. Il comitato tiene inoltre conto del percorso professionale del docente e di ogni informazione utile a valutarne la congruità rispetto al ruolo tutoriale. Il colloquio è rivolto ad un numero di candidati non superiore al doppio rispetto ai posti disponibili, identificati dalla graduatoria risultante dal punteggio conseguito attraverso la valutazione dei titoli presentati. La graduatoria finale è </w:t>
      </w:r>
      <w:r w:rsidRPr="00C1662F">
        <w:rPr>
          <w:rFonts w:ascii="Arial" w:eastAsia="Times New Roman" w:hAnsi="Arial" w:cs="Arial"/>
          <w:color w:val="000000"/>
          <w:kern w:val="0"/>
          <w:sz w:val="21"/>
          <w:szCs w:val="21"/>
          <w:lang w:eastAsia="it-IT"/>
          <w14:ligatures w14:val="none"/>
        </w:rPr>
        <w:lastRenderedPageBreak/>
        <w:t>data dalla somma tra il punteggio attribuito ai titoli e il punteggio attribuito all'esame. La tabella di valutazione dei titoli è allegata al decreto interministeriale.</w:t>
      </w:r>
    </w:p>
    <w:p w14:paraId="6C6494BA"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Esoneri e semi-esoneri per i tutor coordinatori</w:t>
      </w:r>
    </w:p>
    <w:p w14:paraId="69AA8C8B"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Il collocamento in posizione di esonero o semi-esonero dal servizio è consentito solo ai docenti che svolgono le funzioni di tutor coordinatori.</w:t>
      </w:r>
    </w:p>
    <w:p w14:paraId="4EDE9CC4"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Risorse per la copertura finanziaria degli esoneri e semi-esoneri:</w:t>
      </w:r>
    </w:p>
    <w:p w14:paraId="4D30F719"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 per il 2022, 2023 e in parte per il 2024 saranno prese dalla riduzione di un "Fondo per interventi strutturali di politica economica” istituito nel 2004 (Decreto-legge 29 novembre 2004, n. 282).</w:t>
      </w:r>
    </w:p>
    <w:p w14:paraId="6A846980"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 Le risorse utilizzate successivamente vengono prese in misura pari a 19 milioni di euro per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 xml:space="preserve">anno 2024 e 50 milioni di euro a decorrere </w:t>
      </w:r>
      <w:proofErr w:type="spellStart"/>
      <w:r w:rsidRPr="00C1662F">
        <w:rPr>
          <w:rFonts w:ascii="Arial" w:eastAsia="Times New Roman" w:hAnsi="Arial" w:cs="Arial"/>
          <w:color w:val="000000"/>
          <w:kern w:val="0"/>
          <w:sz w:val="21"/>
          <w:szCs w:val="21"/>
          <w:lang w:eastAsia="it-IT"/>
          <w14:ligatures w14:val="none"/>
        </w:rPr>
        <w:t>dall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anno 2025, mediante corrispondente riduzione dei fondi per la Card Docente (art. 1, comma 123, della legge 13 luglio 2015, n. 107).</w:t>
      </w:r>
    </w:p>
    <w:p w14:paraId="74D03128" w14:textId="77777777" w:rsidR="00AF3031" w:rsidRPr="00C1662F" w:rsidRDefault="00AF3031" w:rsidP="00AF303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C1662F">
        <w:rPr>
          <w:rFonts w:ascii="Arial" w:eastAsia="Times New Roman" w:hAnsi="Arial" w:cs="Arial"/>
          <w:b/>
          <w:bCs/>
          <w:color w:val="535353"/>
          <w:kern w:val="0"/>
          <w:sz w:val="27"/>
          <w:szCs w:val="27"/>
          <w:lang w:eastAsia="it-IT"/>
          <w14:ligatures w14:val="none"/>
        </w:rPr>
        <w:t>Osservazioni della FLC CGIL</w:t>
      </w:r>
    </w:p>
    <w:p w14:paraId="71FACDAE"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color w:val="000000"/>
          <w:kern w:val="0"/>
          <w:sz w:val="21"/>
          <w:szCs w:val="21"/>
          <w:lang w:eastAsia="it-IT"/>
          <w14:ligatures w14:val="none"/>
        </w:rPr>
        <w:t>Già nella fase di </w:t>
      </w:r>
      <w:hyperlink r:id="rId10" w:tgtFrame="_blank" w:history="1">
        <w:r w:rsidRPr="00C1662F">
          <w:rPr>
            <w:rFonts w:ascii="Arial" w:eastAsia="Times New Roman" w:hAnsi="Arial" w:cs="Arial"/>
            <w:color w:val="005EB3"/>
            <w:kern w:val="0"/>
            <w:sz w:val="21"/>
            <w:szCs w:val="21"/>
            <w:u w:val="single"/>
            <w:lang w:eastAsia="it-IT"/>
            <w14:ligatures w14:val="none"/>
          </w:rPr>
          <w:t>informativa sindacale</w:t>
        </w:r>
      </w:hyperlink>
      <w:r w:rsidRPr="00C1662F">
        <w:rPr>
          <w:rFonts w:ascii="Arial" w:eastAsia="Times New Roman" w:hAnsi="Arial" w:cs="Arial"/>
          <w:color w:val="000000"/>
          <w:kern w:val="0"/>
          <w:sz w:val="21"/>
          <w:szCs w:val="21"/>
          <w:lang w:eastAsia="it-IT"/>
          <w14:ligatures w14:val="none"/>
        </w:rPr>
        <w:t> abbiamo rilevato diverse criticità, riconducibili in buona parte alle previsioni della norma da cui nasce questo Decreto Interministeriale: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 xml:space="preserve">art.2-bis del </w:t>
      </w:r>
      <w:proofErr w:type="spellStart"/>
      <w:r w:rsidRPr="00C1662F">
        <w:rPr>
          <w:rFonts w:ascii="Arial" w:eastAsia="Times New Roman" w:hAnsi="Arial" w:cs="Arial"/>
          <w:color w:val="000000"/>
          <w:kern w:val="0"/>
          <w:sz w:val="21"/>
          <w:szCs w:val="21"/>
          <w:lang w:eastAsia="it-IT"/>
          <w14:ligatures w14:val="none"/>
        </w:rPr>
        <w:t>D.Lgs</w:t>
      </w:r>
      <w:proofErr w:type="spellEnd"/>
      <w:r w:rsidRPr="00C1662F">
        <w:rPr>
          <w:rFonts w:ascii="Arial" w:eastAsia="Times New Roman" w:hAnsi="Arial" w:cs="Arial"/>
          <w:color w:val="000000"/>
          <w:kern w:val="0"/>
          <w:sz w:val="21"/>
          <w:szCs w:val="21"/>
          <w:lang w:eastAsia="it-IT"/>
          <w14:ligatures w14:val="none"/>
        </w:rPr>
        <w:t xml:space="preserve"> 59/2017, come modificato dal DL 36/2022.</w:t>
      </w:r>
    </w:p>
    <w:p w14:paraId="3DB179AF"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Copertura finanziaria.</w:t>
      </w:r>
      <w:r w:rsidRPr="00C1662F">
        <w:rPr>
          <w:rFonts w:ascii="Arial" w:eastAsia="Times New Roman" w:hAnsi="Arial" w:cs="Arial"/>
          <w:color w:val="000000"/>
          <w:kern w:val="0"/>
          <w:sz w:val="21"/>
          <w:szCs w:val="21"/>
          <w:lang w:eastAsia="it-IT"/>
          <w14:ligatures w14:val="none"/>
        </w:rPr>
        <w:t>  Rimane per noi grave che a partire dal 2024 si provveda a finanziare gli esoneri e i semiesoneri dei docenti tutor coordinatori attraverso la riduzione del fondo destinato alla card docenti. Non solo i percorsi formativi e abilitanti comportano costi altissimi a carico dei partecipanti, ma per la loro attivazione si attinge a risorse destinate a tutti i docenti.</w:t>
      </w:r>
    </w:p>
    <w:p w14:paraId="5C95F096"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Compensi tutor dei tirocinanti.</w:t>
      </w:r>
      <w:r w:rsidRPr="00C1662F">
        <w:rPr>
          <w:rFonts w:ascii="Arial" w:eastAsia="Times New Roman" w:hAnsi="Arial" w:cs="Arial"/>
          <w:color w:val="000000"/>
          <w:kern w:val="0"/>
          <w:sz w:val="21"/>
          <w:szCs w:val="21"/>
          <w:lang w:eastAsia="it-IT"/>
          <w14:ligatures w14:val="none"/>
        </w:rPr>
        <w:t xml:space="preserve"> Rimane la criticità di non prevedere specifici compensi per i tutor dei tirocinanti, ai quali, presumibilmente, si chiederà di lavorare gratis o ricorrendo alle risorse del FMOF, </w:t>
      </w:r>
      <w:proofErr w:type="gramStart"/>
      <w:r w:rsidRPr="00C1662F">
        <w:rPr>
          <w:rFonts w:ascii="Arial" w:eastAsia="Times New Roman" w:hAnsi="Arial" w:cs="Arial"/>
          <w:color w:val="000000"/>
          <w:kern w:val="0"/>
          <w:sz w:val="21"/>
          <w:szCs w:val="21"/>
          <w:lang w:eastAsia="it-IT"/>
          <w14:ligatures w14:val="none"/>
        </w:rPr>
        <w:t>già  </w:t>
      </w:r>
      <w:r w:rsidRPr="00C1662F">
        <w:rPr>
          <w:rFonts w:ascii="Arial" w:eastAsia="Times New Roman" w:hAnsi="Arial" w:cs="Arial"/>
          <w:b/>
          <w:bCs/>
          <w:color w:val="000000"/>
          <w:kern w:val="0"/>
          <w:sz w:val="21"/>
          <w:szCs w:val="21"/>
          <w:lang w:eastAsia="it-IT"/>
          <w14:ligatures w14:val="none"/>
        </w:rPr>
        <w:t>insufficienti</w:t>
      </w:r>
      <w:proofErr w:type="gramEnd"/>
      <w:r w:rsidRPr="00C1662F">
        <w:rPr>
          <w:rFonts w:ascii="Arial" w:eastAsia="Times New Roman" w:hAnsi="Arial" w:cs="Arial"/>
          <w:b/>
          <w:bCs/>
          <w:color w:val="000000"/>
          <w:kern w:val="0"/>
          <w:sz w:val="21"/>
          <w:szCs w:val="21"/>
          <w:lang w:eastAsia="it-IT"/>
          <w14:ligatures w14:val="none"/>
        </w:rPr>
        <w:t xml:space="preserve"> a fronteggiare il continuo aumento delle attività nelle scuole</w:t>
      </w:r>
      <w:r w:rsidRPr="00C1662F">
        <w:rPr>
          <w:rFonts w:ascii="Arial" w:eastAsia="Times New Roman" w:hAnsi="Arial" w:cs="Arial"/>
          <w:color w:val="000000"/>
          <w:kern w:val="0"/>
          <w:sz w:val="21"/>
          <w:szCs w:val="21"/>
          <w:lang w:eastAsia="it-IT"/>
          <w14:ligatures w14:val="none"/>
        </w:rPr>
        <w:t>. Come FLC CGIL abbiamo chiesto lo stanziamento di fondi dedicati.</w:t>
      </w:r>
    </w:p>
    <w:p w14:paraId="7F3B854D"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Integrazione punteggi graduatorie interne e mobilità.</w:t>
      </w:r>
      <w:r w:rsidRPr="00C1662F">
        <w:rPr>
          <w:rFonts w:ascii="Arial" w:eastAsia="Times New Roman" w:hAnsi="Arial" w:cs="Arial"/>
          <w:color w:val="000000"/>
          <w:kern w:val="0"/>
          <w:sz w:val="21"/>
          <w:szCs w:val="21"/>
          <w:lang w:eastAsia="it-IT"/>
          <w14:ligatures w14:val="none"/>
        </w:rPr>
        <w:t> Registriamo che il Ministero, come da noi richiesto, ha eliminato la previsione che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attività tutoriale possa produrre punteggio per le graduatorie di istituto o per la mobilità. È il risultato della nostra azione, che ha permesso di evitare una grave ingerenza sulla materia della mobilità che è regolata per via contrattuale.</w:t>
      </w:r>
    </w:p>
    <w:p w14:paraId="2975E0DF"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Procedure di individuazione dei tutor dei tirocinanti </w:t>
      </w:r>
      <w:r w:rsidRPr="00C1662F">
        <w:rPr>
          <w:rFonts w:ascii="Arial" w:eastAsia="Times New Roman" w:hAnsi="Arial" w:cs="Arial"/>
          <w:color w:val="000000"/>
          <w:kern w:val="0"/>
          <w:sz w:val="21"/>
          <w:szCs w:val="21"/>
          <w:lang w:eastAsia="it-IT"/>
          <w14:ligatures w14:val="none"/>
        </w:rPr>
        <w:t xml:space="preserve">a cura del comitato di valutazione di scuola: si attribuiscono a questo organismo compiti impropri di selezione del personale. La FLC CGIL ha chiesto che ci si attenga esclusivamente ai punteggi determinati dai titoli, valorizzando il servizio di insegnamento. Nessun chiarimento in merito </w:t>
      </w:r>
      <w:proofErr w:type="spellStart"/>
      <w:r w:rsidRPr="00C1662F">
        <w:rPr>
          <w:rFonts w:ascii="Arial" w:eastAsia="Times New Roman" w:hAnsi="Arial" w:cs="Arial"/>
          <w:color w:val="000000"/>
          <w:kern w:val="0"/>
          <w:sz w:val="21"/>
          <w:szCs w:val="21"/>
          <w:lang w:eastAsia="it-IT"/>
          <w14:ligatures w14:val="none"/>
        </w:rPr>
        <w:t>all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 xml:space="preserve">eventuale composizione del Comitato di Valutazione, considerato che, ai sensi </w:t>
      </w:r>
      <w:proofErr w:type="spellStart"/>
      <w:r w:rsidRPr="00C1662F">
        <w:rPr>
          <w:rFonts w:ascii="Arial" w:eastAsia="Times New Roman" w:hAnsi="Arial" w:cs="Arial"/>
          <w:color w:val="000000"/>
          <w:kern w:val="0"/>
          <w:sz w:val="21"/>
          <w:szCs w:val="21"/>
          <w:lang w:eastAsia="it-IT"/>
          <w14:ligatures w14:val="none"/>
        </w:rPr>
        <w:t>dell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 xml:space="preserve">art. 11 del </w:t>
      </w:r>
      <w:proofErr w:type="spellStart"/>
      <w:r w:rsidRPr="00C1662F">
        <w:rPr>
          <w:rFonts w:ascii="Arial" w:eastAsia="Times New Roman" w:hAnsi="Arial" w:cs="Arial"/>
          <w:color w:val="000000"/>
          <w:kern w:val="0"/>
          <w:sz w:val="21"/>
          <w:szCs w:val="21"/>
          <w:lang w:eastAsia="it-IT"/>
          <w14:ligatures w14:val="none"/>
        </w:rPr>
        <w:t>D.Lgs</w:t>
      </w:r>
      <w:proofErr w:type="spellEnd"/>
      <w:r w:rsidRPr="00C1662F">
        <w:rPr>
          <w:rFonts w:ascii="Arial" w:eastAsia="Times New Roman" w:hAnsi="Arial" w:cs="Arial"/>
          <w:color w:val="000000"/>
          <w:kern w:val="0"/>
          <w:sz w:val="21"/>
          <w:szCs w:val="21"/>
          <w:lang w:eastAsia="it-IT"/>
          <w14:ligatures w14:val="none"/>
        </w:rPr>
        <w:t xml:space="preserve"> 297/94 esso opera a compagine ristretta (dirigente scolastico e docenti della scuola) limitatamente al parere sul superamento </w:t>
      </w:r>
      <w:proofErr w:type="spellStart"/>
      <w:r w:rsidRPr="00C1662F">
        <w:rPr>
          <w:rFonts w:ascii="Arial" w:eastAsia="Times New Roman" w:hAnsi="Arial" w:cs="Arial"/>
          <w:color w:val="000000"/>
          <w:kern w:val="0"/>
          <w:sz w:val="21"/>
          <w:szCs w:val="21"/>
          <w:lang w:eastAsia="it-IT"/>
          <w14:ligatures w14:val="none"/>
        </w:rPr>
        <w:t>dell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anno di formazione e prova, mentre in tutti gli altri casi è prevista la partecipazione di un esterno e della componente genitori.</w:t>
      </w:r>
    </w:p>
    <w:p w14:paraId="2A409544"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Contingente. </w:t>
      </w:r>
      <w:r w:rsidRPr="00C1662F">
        <w:rPr>
          <w:rFonts w:ascii="Arial" w:eastAsia="Times New Roman" w:hAnsi="Arial" w:cs="Arial"/>
          <w:color w:val="000000"/>
          <w:kern w:val="0"/>
          <w:sz w:val="21"/>
          <w:szCs w:val="21"/>
          <w:lang w:eastAsia="it-IT"/>
          <w14:ligatures w14:val="none"/>
        </w:rPr>
        <w:t xml:space="preserve">Sulla rilevazione del fabbisogno dei docenti e dei passaggi che connettono il dato alla programmazione </w:t>
      </w:r>
      <w:proofErr w:type="spellStart"/>
      <w:r w:rsidRPr="00C1662F">
        <w:rPr>
          <w:rFonts w:ascii="Arial" w:eastAsia="Times New Roman" w:hAnsi="Arial" w:cs="Arial"/>
          <w:color w:val="000000"/>
          <w:kern w:val="0"/>
          <w:sz w:val="21"/>
          <w:szCs w:val="21"/>
          <w:lang w:eastAsia="it-IT"/>
          <w14:ligatures w14:val="none"/>
        </w:rPr>
        <w:t>dell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offerta formativa su base regionale si è tenuto </w:t>
      </w:r>
      <w:hyperlink r:id="rId11" w:tgtFrame="_blank" w:history="1">
        <w:r w:rsidRPr="00C1662F">
          <w:rPr>
            <w:rFonts w:ascii="Arial" w:eastAsia="Times New Roman" w:hAnsi="Arial" w:cs="Arial"/>
            <w:color w:val="005EB3"/>
            <w:kern w:val="0"/>
            <w:sz w:val="21"/>
            <w:szCs w:val="21"/>
            <w:u w:val="single"/>
            <w:lang w:eastAsia="it-IT"/>
            <w14:ligatures w14:val="none"/>
          </w:rPr>
          <w:t>un apposito incontro</w:t>
        </w:r>
      </w:hyperlink>
      <w:r w:rsidRPr="00C1662F">
        <w:rPr>
          <w:rFonts w:ascii="Arial" w:eastAsia="Times New Roman" w:hAnsi="Arial" w:cs="Arial"/>
          <w:color w:val="000000"/>
          <w:kern w:val="0"/>
          <w:sz w:val="21"/>
          <w:szCs w:val="21"/>
          <w:lang w:eastAsia="it-IT"/>
          <w14:ligatures w14:val="none"/>
        </w:rPr>
        <w:t> da noi richiesto.</w:t>
      </w:r>
    </w:p>
    <w:p w14:paraId="0AAB2BC5" w14:textId="77777777" w:rsidR="00AF3031" w:rsidRPr="00C1662F" w:rsidRDefault="00AF3031" w:rsidP="00AF303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C1662F">
        <w:rPr>
          <w:rFonts w:ascii="Arial" w:eastAsia="Times New Roman" w:hAnsi="Arial" w:cs="Arial"/>
          <w:b/>
          <w:bCs/>
          <w:color w:val="000000"/>
          <w:kern w:val="0"/>
          <w:sz w:val="21"/>
          <w:szCs w:val="21"/>
          <w:lang w:eastAsia="it-IT"/>
          <w14:ligatures w14:val="none"/>
        </w:rPr>
        <w:t>Continuità didattica.</w:t>
      </w:r>
      <w:r w:rsidRPr="00C1662F">
        <w:rPr>
          <w:rFonts w:ascii="Arial" w:eastAsia="Times New Roman" w:hAnsi="Arial" w:cs="Arial"/>
          <w:color w:val="000000"/>
          <w:kern w:val="0"/>
          <w:sz w:val="21"/>
          <w:szCs w:val="21"/>
          <w:lang w:eastAsia="it-IT"/>
          <w14:ligatures w14:val="none"/>
        </w:rPr>
        <w:t xml:space="preserve"> L'avvio tardivo dei percorsi di formazione e abilitazione comporta necessariamente lo slittamento </w:t>
      </w:r>
      <w:proofErr w:type="spellStart"/>
      <w:r w:rsidRPr="00C1662F">
        <w:rPr>
          <w:rFonts w:ascii="Arial" w:eastAsia="Times New Roman" w:hAnsi="Arial" w:cs="Arial"/>
          <w:color w:val="000000"/>
          <w:kern w:val="0"/>
          <w:sz w:val="21"/>
          <w:szCs w:val="21"/>
          <w:lang w:eastAsia="it-IT"/>
          <w14:ligatures w14:val="none"/>
        </w:rPr>
        <w:t>dell</w:t>
      </w:r>
      <w:proofErr w:type="spellEnd"/>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individuazione dei tutor che assumeranno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incarico ad anno scolastico inoltrato. Nel caso dei tutor coordinatori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esonero o il semiesonero e la conseguente nomina dei supplenti comporterà l</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interruzione della continuità didattica. La FLC CGIL ritiene questa un</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ulteriore responsabilità di un</w:t>
      </w:r>
      <w:r w:rsidRPr="00C1662F">
        <w:rPr>
          <w:rFonts w:ascii="Arial" w:eastAsia="Times New Roman" w:hAnsi="Arial" w:cs="Arial"/>
          <w:color w:val="000000"/>
          <w:kern w:val="0"/>
          <w:sz w:val="21"/>
          <w:szCs w:val="21"/>
          <w:rtl/>
          <w:lang w:eastAsia="it-IT"/>
          <w14:ligatures w14:val="none"/>
        </w:rPr>
        <w:t>’</w:t>
      </w:r>
      <w:r w:rsidRPr="00C1662F">
        <w:rPr>
          <w:rFonts w:ascii="Arial" w:eastAsia="Times New Roman" w:hAnsi="Arial" w:cs="Arial"/>
          <w:color w:val="000000"/>
          <w:kern w:val="0"/>
          <w:sz w:val="21"/>
          <w:szCs w:val="21"/>
          <w:lang w:eastAsia="it-IT"/>
          <w14:ligatures w14:val="none"/>
        </w:rPr>
        <w:t>Amministrazione poco attenta ai reali bisogni delle scuole, degli studenti, del sistema di reclutamento.</w:t>
      </w:r>
    </w:p>
    <w:p w14:paraId="63BAE4C7" w14:textId="77777777" w:rsidR="00AF3031" w:rsidRDefault="00AF3031" w:rsidP="00AF3031"/>
    <w:p w14:paraId="65917017" w14:textId="77777777" w:rsidR="00AF3031" w:rsidRDefault="00AF3031" w:rsidP="00A904D9">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062228EF" w14:textId="7B5ACDAD" w:rsidR="00A904D9" w:rsidRPr="00A904D9" w:rsidRDefault="00A904D9" w:rsidP="00A904D9">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904D9">
        <w:rPr>
          <w:rFonts w:ascii="Tahoma" w:eastAsia="Times New Roman" w:hAnsi="Tahoma" w:cs="Tahoma"/>
          <w:color w:val="DC3B33"/>
          <w:kern w:val="36"/>
          <w:sz w:val="45"/>
          <w:szCs w:val="45"/>
          <w:lang w:eastAsia="it-IT"/>
          <w14:ligatures w14:val="none"/>
        </w:rPr>
        <w:lastRenderedPageBreak/>
        <w:t>Nuovo Codice appalti, FLC CGIL al Ministero: superare le criticità</w:t>
      </w:r>
    </w:p>
    <w:p w14:paraId="67890135" w14:textId="77777777" w:rsidR="00A904D9" w:rsidRPr="00A904D9" w:rsidRDefault="00A904D9" w:rsidP="00A904D9">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904D9">
        <w:rPr>
          <w:rFonts w:ascii="Arial" w:eastAsia="Times New Roman" w:hAnsi="Arial" w:cs="Arial"/>
          <w:color w:val="535353"/>
          <w:kern w:val="0"/>
          <w:sz w:val="27"/>
          <w:szCs w:val="27"/>
          <w:lang w:eastAsia="it-IT"/>
          <w14:ligatures w14:val="none"/>
        </w:rPr>
        <w:t>Occorre portare a regime modalità semplificate per acquisti inferiori a 5.000 euro e risolvere le problematiche di gestione dei viaggi di istruzione e delle concessioni. In programma un incontro tra ministero, Anac e Consip per risolvere le criticità segnalate dalle scuole. Da risolvere anche i problemi connessi ai contratti ATA per PNRR e Agenda Sud</w:t>
      </w:r>
    </w:p>
    <w:p w14:paraId="0E004ACA" w14:textId="77777777" w:rsidR="00A904D9" w:rsidRPr="00A904D9" w:rsidRDefault="00A904D9" w:rsidP="00A904D9">
      <w:pPr>
        <w:shd w:val="clear" w:color="auto" w:fill="FFFFFF"/>
        <w:spacing w:after="0" w:line="240" w:lineRule="auto"/>
        <w:rPr>
          <w:rFonts w:ascii="Arial" w:eastAsia="Times New Roman" w:hAnsi="Arial" w:cs="Arial"/>
          <w:color w:val="4D4D4D"/>
          <w:kern w:val="0"/>
          <w:sz w:val="21"/>
          <w:szCs w:val="21"/>
          <w:lang w:eastAsia="it-IT"/>
          <w14:ligatures w14:val="none"/>
        </w:rPr>
      </w:pPr>
      <w:r w:rsidRPr="00A904D9">
        <w:rPr>
          <w:rFonts w:ascii="Arial" w:eastAsia="Times New Roman" w:hAnsi="Arial" w:cs="Arial"/>
          <w:b/>
          <w:bCs/>
          <w:color w:val="4D4D4D"/>
          <w:kern w:val="0"/>
          <w:sz w:val="21"/>
          <w:szCs w:val="21"/>
          <w:lang w:eastAsia="it-IT"/>
          <w14:ligatures w14:val="none"/>
        </w:rPr>
        <w:t>25/01/2024</w:t>
      </w:r>
    </w:p>
    <w:p w14:paraId="704F9F86" w14:textId="77777777" w:rsid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1AC9EC6" w14:textId="033701E0"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Appena concluso l’incontro al Ministero sulle problematiche del </w:t>
      </w:r>
      <w:r w:rsidRPr="00A904D9">
        <w:rPr>
          <w:rFonts w:ascii="Arial" w:eastAsia="Times New Roman" w:hAnsi="Arial" w:cs="Arial"/>
          <w:b/>
          <w:bCs/>
          <w:color w:val="000000"/>
          <w:kern w:val="0"/>
          <w:sz w:val="21"/>
          <w:szCs w:val="21"/>
          <w:lang w:eastAsia="it-IT"/>
          <w14:ligatures w14:val="none"/>
        </w:rPr>
        <w:t>nuovo codice degli appalti</w:t>
      </w:r>
      <w:r w:rsidRPr="00A904D9">
        <w:rPr>
          <w:rFonts w:ascii="Arial" w:eastAsia="Times New Roman" w:hAnsi="Arial" w:cs="Arial"/>
          <w:color w:val="000000"/>
          <w:kern w:val="0"/>
          <w:sz w:val="21"/>
          <w:szCs w:val="21"/>
          <w:lang w:eastAsia="it-IT"/>
          <w14:ligatures w14:val="none"/>
        </w:rPr>
        <w:t>.</w:t>
      </w:r>
    </w:p>
    <w:p w14:paraId="4653D7EA"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Di seguito le </w:t>
      </w:r>
      <w:r w:rsidRPr="00A904D9">
        <w:rPr>
          <w:rFonts w:ascii="Arial" w:eastAsia="Times New Roman" w:hAnsi="Arial" w:cs="Arial"/>
          <w:b/>
          <w:bCs/>
          <w:color w:val="000000"/>
          <w:kern w:val="0"/>
          <w:sz w:val="21"/>
          <w:szCs w:val="21"/>
          <w:lang w:eastAsia="it-IT"/>
          <w14:ligatures w14:val="none"/>
        </w:rPr>
        <w:t>principali criticità che abbiamo segnalato</w:t>
      </w:r>
    </w:p>
    <w:p w14:paraId="198EF883" w14:textId="77777777" w:rsidR="00A904D9" w:rsidRPr="00A904D9" w:rsidRDefault="00A904D9" w:rsidP="00A904D9">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04D9">
        <w:rPr>
          <w:rFonts w:ascii="Arial" w:eastAsia="Times New Roman" w:hAnsi="Arial" w:cs="Arial"/>
          <w:color w:val="000000"/>
          <w:kern w:val="0"/>
          <w:sz w:val="23"/>
          <w:szCs w:val="23"/>
          <w:lang w:eastAsia="it-IT"/>
          <w14:ligatures w14:val="none"/>
        </w:rPr>
        <w:t xml:space="preserve">portare a regime la proroga dello Smart </w:t>
      </w:r>
      <w:proofErr w:type="spellStart"/>
      <w:r w:rsidRPr="00A904D9">
        <w:rPr>
          <w:rFonts w:ascii="Arial" w:eastAsia="Times New Roman" w:hAnsi="Arial" w:cs="Arial"/>
          <w:color w:val="000000"/>
          <w:kern w:val="0"/>
          <w:sz w:val="23"/>
          <w:szCs w:val="23"/>
          <w:lang w:eastAsia="it-IT"/>
          <w14:ligatures w14:val="none"/>
        </w:rPr>
        <w:t>Cig</w:t>
      </w:r>
      <w:proofErr w:type="spellEnd"/>
      <w:r w:rsidRPr="00A904D9">
        <w:rPr>
          <w:rFonts w:ascii="Arial" w:eastAsia="Times New Roman" w:hAnsi="Arial" w:cs="Arial"/>
          <w:color w:val="000000"/>
          <w:kern w:val="0"/>
          <w:sz w:val="23"/>
          <w:szCs w:val="23"/>
          <w:lang w:eastAsia="it-IT"/>
          <w14:ligatures w14:val="none"/>
        </w:rPr>
        <w:t xml:space="preserve"> per acquisti inferiori a € 5.000 ed eliminare l’utilizzo dello SPID personale per l’accesso alla piattaforma</w:t>
      </w:r>
    </w:p>
    <w:p w14:paraId="1CE07E87" w14:textId="77777777" w:rsidR="00A904D9" w:rsidRPr="00A904D9" w:rsidRDefault="00A904D9" w:rsidP="00A904D9">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04D9">
        <w:rPr>
          <w:rFonts w:ascii="Arial" w:eastAsia="Times New Roman" w:hAnsi="Arial" w:cs="Arial"/>
          <w:color w:val="000000"/>
          <w:kern w:val="0"/>
          <w:sz w:val="23"/>
          <w:szCs w:val="23"/>
          <w:lang w:eastAsia="it-IT"/>
          <w14:ligatures w14:val="none"/>
        </w:rPr>
        <w:t>risolvere le criticità relative alla gestione dei viaggi di istruzione - nel caso in cui si superi complessivamente la soglia dei 140.000 euro - e delle concessioni per bar e distributori di bevande in quanto in entrambi i casi la procedura non è consentita alle scuole che non sono stazioni appaltanti qualificate</w:t>
      </w:r>
    </w:p>
    <w:p w14:paraId="6B62B8B6" w14:textId="77777777" w:rsidR="00A904D9" w:rsidRPr="00A904D9" w:rsidRDefault="00A904D9" w:rsidP="00A904D9">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A904D9">
        <w:rPr>
          <w:rFonts w:ascii="Arial" w:eastAsia="Times New Roman" w:hAnsi="Arial" w:cs="Arial"/>
          <w:color w:val="000000"/>
          <w:kern w:val="0"/>
          <w:sz w:val="23"/>
          <w:szCs w:val="23"/>
          <w:lang w:eastAsia="it-IT"/>
          <w14:ligatures w14:val="none"/>
        </w:rPr>
        <w:t>aggiornarne il quaderno sugli acquisti e il potenziamento del supporto HDAC per fornire alle scuole risposte tempestive ai loro quesiti.</w:t>
      </w:r>
    </w:p>
    <w:p w14:paraId="45551CBF"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b/>
          <w:bCs/>
          <w:color w:val="000000"/>
          <w:kern w:val="0"/>
          <w:sz w:val="21"/>
          <w:szCs w:val="21"/>
          <w:lang w:eastAsia="it-IT"/>
          <w14:ligatures w14:val="none"/>
        </w:rPr>
        <w:t>Il Ministero si è impegnato ad affrontare le problematiche segnalate</w:t>
      </w:r>
      <w:r w:rsidRPr="00A904D9">
        <w:rPr>
          <w:rFonts w:ascii="Arial" w:eastAsia="Times New Roman" w:hAnsi="Arial" w:cs="Arial"/>
          <w:color w:val="000000"/>
          <w:kern w:val="0"/>
          <w:sz w:val="21"/>
          <w:szCs w:val="21"/>
          <w:lang w:eastAsia="it-IT"/>
          <w14:ligatures w14:val="none"/>
        </w:rPr>
        <w:t> comunicando di aver programmato due incontri tecnici con Anac e Consip per segnalare le disfunzioni della piattaforma che le scuole stanno denunciando in riferimento ai viaggi di istruzione e alle concessioni.</w:t>
      </w:r>
    </w:p>
    <w:p w14:paraId="6D3CA453"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Sono allo studio del Ministero </w:t>
      </w:r>
      <w:r w:rsidRPr="00A904D9">
        <w:rPr>
          <w:rFonts w:ascii="Arial" w:eastAsia="Times New Roman" w:hAnsi="Arial" w:cs="Arial"/>
          <w:b/>
          <w:bCs/>
          <w:color w:val="000000"/>
          <w:kern w:val="0"/>
          <w:sz w:val="21"/>
          <w:szCs w:val="21"/>
          <w:lang w:eastAsia="it-IT"/>
          <w14:ligatures w14:val="none"/>
        </w:rPr>
        <w:t>specifiche deroghe alle soglie comunitarie e misure di semplificazioni per le concessioni</w:t>
      </w:r>
      <w:r w:rsidRPr="00A904D9">
        <w:rPr>
          <w:rFonts w:ascii="Arial" w:eastAsia="Times New Roman" w:hAnsi="Arial" w:cs="Arial"/>
          <w:color w:val="000000"/>
          <w:kern w:val="0"/>
          <w:sz w:val="21"/>
          <w:szCs w:val="21"/>
          <w:lang w:eastAsia="it-IT"/>
          <w14:ligatures w14:val="none"/>
        </w:rPr>
        <w:t>.</w:t>
      </w:r>
    </w:p>
    <w:p w14:paraId="4A78F54B"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A breve saranno aggiornati i </w:t>
      </w:r>
      <w:r w:rsidRPr="00A904D9">
        <w:rPr>
          <w:rFonts w:ascii="Arial" w:eastAsia="Times New Roman" w:hAnsi="Arial" w:cs="Arial"/>
          <w:b/>
          <w:bCs/>
          <w:color w:val="000000"/>
          <w:kern w:val="0"/>
          <w:sz w:val="21"/>
          <w:szCs w:val="21"/>
          <w:lang w:eastAsia="it-IT"/>
          <w14:ligatures w14:val="none"/>
        </w:rPr>
        <w:t>quaderni sugli acquisti</w:t>
      </w:r>
      <w:r w:rsidRPr="00A904D9">
        <w:rPr>
          <w:rFonts w:ascii="Arial" w:eastAsia="Times New Roman" w:hAnsi="Arial" w:cs="Arial"/>
          <w:color w:val="000000"/>
          <w:kern w:val="0"/>
          <w:sz w:val="21"/>
          <w:szCs w:val="21"/>
          <w:lang w:eastAsia="it-IT"/>
          <w14:ligatures w14:val="none"/>
        </w:rPr>
        <w:t> e si invierà una nota informativa alle scuole nella quale saranno fornite alcune informazioni e chiarimenti sulle nuove norme.</w:t>
      </w:r>
    </w:p>
    <w:p w14:paraId="1D6722E1"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Infine su richiesta della FLC CGIL il Ministero ha confermato che sono stati predisposti gli atti necessari affinché in occasione dell’approvazione di un prossimo DL siano previste </w:t>
      </w:r>
      <w:r w:rsidRPr="00A904D9">
        <w:rPr>
          <w:rFonts w:ascii="Arial" w:eastAsia="Times New Roman" w:hAnsi="Arial" w:cs="Arial"/>
          <w:b/>
          <w:bCs/>
          <w:color w:val="000000"/>
          <w:kern w:val="0"/>
          <w:sz w:val="21"/>
          <w:szCs w:val="21"/>
          <w:lang w:eastAsia="it-IT"/>
          <w14:ligatures w14:val="none"/>
        </w:rPr>
        <w:t>misure utili a risolvere le principali criticità relative alla gestione dei contratti ATA PNRR e Agenda sud</w:t>
      </w:r>
      <w:r w:rsidRPr="00A904D9">
        <w:rPr>
          <w:rFonts w:ascii="Arial" w:eastAsia="Times New Roman" w:hAnsi="Arial" w:cs="Arial"/>
          <w:color w:val="000000"/>
          <w:kern w:val="0"/>
          <w:sz w:val="21"/>
          <w:szCs w:val="21"/>
          <w:lang w:eastAsia="it-IT"/>
          <w14:ligatures w14:val="none"/>
        </w:rPr>
        <w:t>.</w:t>
      </w:r>
    </w:p>
    <w:p w14:paraId="18B1C30B"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A margine dell’incontro </w:t>
      </w:r>
      <w:r w:rsidRPr="00A904D9">
        <w:rPr>
          <w:rFonts w:ascii="Arial" w:eastAsia="Times New Roman" w:hAnsi="Arial" w:cs="Arial"/>
          <w:b/>
          <w:bCs/>
          <w:color w:val="000000"/>
          <w:kern w:val="0"/>
          <w:sz w:val="21"/>
          <w:szCs w:val="21"/>
          <w:lang w:eastAsia="it-IT"/>
          <w14:ligatures w14:val="none"/>
        </w:rPr>
        <w:t>abbiamo sollecitato un intervento immediato del Ministero a sostegno delle scuole</w:t>
      </w:r>
      <w:r w:rsidRPr="00A904D9">
        <w:rPr>
          <w:rFonts w:ascii="Arial" w:eastAsia="Times New Roman" w:hAnsi="Arial" w:cs="Arial"/>
          <w:color w:val="000000"/>
          <w:kern w:val="0"/>
          <w:sz w:val="21"/>
          <w:szCs w:val="21"/>
          <w:lang w:eastAsia="it-IT"/>
          <w14:ligatures w14:val="none"/>
        </w:rPr>
        <w:t> denunciando l’incresciosa situazione venutasi a creare a seguito delle richieste di rivalsa dell’INPS per interessi corrisposti dall’Ente ai lavoratori in caso di ritardate emissioni degli atti di competenza delle scuole.</w:t>
      </w:r>
    </w:p>
    <w:p w14:paraId="7300DB56" w14:textId="77777777" w:rsidR="00A904D9" w:rsidRPr="00A904D9" w:rsidRDefault="00A904D9" w:rsidP="00A904D9">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904D9">
        <w:rPr>
          <w:rFonts w:ascii="Tahoma" w:eastAsia="Times New Roman" w:hAnsi="Tahoma" w:cs="Tahoma"/>
          <w:color w:val="DC3B33"/>
          <w:kern w:val="36"/>
          <w:sz w:val="45"/>
          <w:szCs w:val="45"/>
          <w:lang w:eastAsia="it-IT"/>
          <w14:ligatures w14:val="none"/>
        </w:rPr>
        <w:t>Tre giorni di permesso retribuito ai supplenti con contratto annuale o al termine delle attività, ora si può!</w:t>
      </w:r>
    </w:p>
    <w:p w14:paraId="02EB79CB" w14:textId="77777777" w:rsidR="00A904D9" w:rsidRPr="00A904D9" w:rsidRDefault="00A904D9" w:rsidP="00A904D9">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904D9">
        <w:rPr>
          <w:rFonts w:ascii="Arial" w:eastAsia="Times New Roman" w:hAnsi="Arial" w:cs="Arial"/>
          <w:color w:val="535353"/>
          <w:kern w:val="0"/>
          <w:sz w:val="27"/>
          <w:szCs w:val="27"/>
          <w:lang w:eastAsia="it-IT"/>
          <w14:ligatures w14:val="none"/>
        </w:rPr>
        <w:t>Dal giorno successivo alla firma definitiva del contratto nazionale di lavoro, avvenuta il 18 gennaio 2024, la fruizione dei tre giorni è diventata una realtà anche per i precari</w:t>
      </w:r>
    </w:p>
    <w:p w14:paraId="1EAC047D" w14:textId="77777777" w:rsidR="00A904D9" w:rsidRPr="00A904D9" w:rsidRDefault="00A904D9" w:rsidP="00A904D9">
      <w:pPr>
        <w:shd w:val="clear" w:color="auto" w:fill="FFFFFF"/>
        <w:spacing w:after="0" w:line="240" w:lineRule="auto"/>
        <w:rPr>
          <w:rFonts w:ascii="Arial" w:eastAsia="Times New Roman" w:hAnsi="Arial" w:cs="Arial"/>
          <w:color w:val="4D4D4D"/>
          <w:kern w:val="0"/>
          <w:sz w:val="21"/>
          <w:szCs w:val="21"/>
          <w:lang w:eastAsia="it-IT"/>
          <w14:ligatures w14:val="none"/>
        </w:rPr>
      </w:pPr>
      <w:r w:rsidRPr="00A904D9">
        <w:rPr>
          <w:rFonts w:ascii="Arial" w:eastAsia="Times New Roman" w:hAnsi="Arial" w:cs="Arial"/>
          <w:b/>
          <w:bCs/>
          <w:color w:val="4D4D4D"/>
          <w:kern w:val="0"/>
          <w:sz w:val="21"/>
          <w:szCs w:val="21"/>
          <w:lang w:eastAsia="it-IT"/>
          <w14:ligatures w14:val="none"/>
        </w:rPr>
        <w:lastRenderedPageBreak/>
        <w:t>25/01/2024</w:t>
      </w:r>
    </w:p>
    <w:p w14:paraId="68B604D9" w14:textId="77777777" w:rsid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591CF81" w14:textId="0FF5EDF2"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L</w:t>
      </w:r>
      <w:r w:rsidRPr="00A904D9">
        <w:rPr>
          <w:rFonts w:ascii="Arial" w:eastAsia="Times New Roman" w:hAnsi="Arial" w:cs="Arial"/>
          <w:color w:val="000000"/>
          <w:kern w:val="0"/>
          <w:sz w:val="21"/>
          <w:szCs w:val="21"/>
          <w:rtl/>
          <w:lang w:eastAsia="it-IT"/>
          <w14:ligatures w14:val="none"/>
        </w:rPr>
        <w:t>’</w:t>
      </w:r>
      <w:r w:rsidRPr="00A904D9">
        <w:rPr>
          <w:rFonts w:ascii="Arial" w:eastAsia="Times New Roman" w:hAnsi="Arial" w:cs="Arial"/>
          <w:color w:val="000000"/>
          <w:kern w:val="0"/>
          <w:sz w:val="21"/>
          <w:szCs w:val="21"/>
          <w:lang w:eastAsia="it-IT"/>
          <w14:ligatures w14:val="none"/>
        </w:rPr>
        <w:t>ipotesi di Contratto Collettivo Nazionale di Lavoro del comparto “Istruzione e Ricerca” 2019-2021 è stata siglata il 14 luglio 2023, mentre la </w:t>
      </w:r>
      <w:hyperlink r:id="rId12" w:tgtFrame="_blank" w:history="1">
        <w:r w:rsidRPr="00A904D9">
          <w:rPr>
            <w:rFonts w:ascii="Arial" w:eastAsia="Times New Roman" w:hAnsi="Arial" w:cs="Arial"/>
            <w:color w:val="005EB3"/>
            <w:kern w:val="0"/>
            <w:sz w:val="21"/>
            <w:szCs w:val="21"/>
            <w:lang w:eastAsia="it-IT"/>
            <w14:ligatures w14:val="none"/>
          </w:rPr>
          <w:t>firma definitiva</w:t>
        </w:r>
      </w:hyperlink>
      <w:r w:rsidRPr="00A904D9">
        <w:rPr>
          <w:rFonts w:ascii="Arial" w:eastAsia="Times New Roman" w:hAnsi="Arial" w:cs="Arial"/>
          <w:color w:val="000000"/>
          <w:kern w:val="0"/>
          <w:sz w:val="21"/>
          <w:szCs w:val="21"/>
          <w:lang w:eastAsia="it-IT"/>
          <w14:ligatures w14:val="none"/>
        </w:rPr>
        <w:t> è avvenuta lo scorso 18 gennaio 2024: ci sono voluti ben 6 mesi agli organismi di controllo per la certificazione.</w:t>
      </w:r>
    </w:p>
    <w:p w14:paraId="27D7B011"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Dal 19 gennaio 2024, quindi dal giorno successivo alla firma definitiva, la possibilità di alcune importanti novità introdotte dal nuovo contratto sono diventate pienamente esigibili.</w:t>
      </w:r>
    </w:p>
    <w:p w14:paraId="188A41F0"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roofErr w:type="gramStart"/>
      <w:r w:rsidRPr="00A904D9">
        <w:rPr>
          <w:rFonts w:ascii="Arial" w:eastAsia="Times New Roman" w:hAnsi="Arial" w:cs="Arial"/>
          <w:color w:val="000000"/>
          <w:kern w:val="0"/>
          <w:sz w:val="21"/>
          <w:szCs w:val="21"/>
          <w:lang w:eastAsia="it-IT"/>
          <w14:ligatures w14:val="none"/>
        </w:rPr>
        <w:t>E’</w:t>
      </w:r>
      <w:proofErr w:type="gramEnd"/>
      <w:r w:rsidRPr="00A904D9">
        <w:rPr>
          <w:rFonts w:ascii="Arial" w:eastAsia="Times New Roman" w:hAnsi="Arial" w:cs="Arial"/>
          <w:color w:val="000000"/>
          <w:kern w:val="0"/>
          <w:sz w:val="21"/>
          <w:szCs w:val="21"/>
          <w:lang w:eastAsia="it-IT"/>
          <w14:ligatures w14:val="none"/>
        </w:rPr>
        <w:t xml:space="preserve"> il caso dei</w:t>
      </w:r>
      <w:r w:rsidRPr="00A904D9">
        <w:rPr>
          <w:rFonts w:ascii="Arial" w:eastAsia="Times New Roman" w:hAnsi="Arial" w:cs="Arial"/>
          <w:b/>
          <w:bCs/>
          <w:color w:val="000000"/>
          <w:kern w:val="0"/>
          <w:sz w:val="21"/>
          <w:szCs w:val="21"/>
          <w:lang w:eastAsia="it-IT"/>
          <w14:ligatures w14:val="none"/>
        </w:rPr>
        <w:t> tre giorni di permessi retribuiti </w:t>
      </w:r>
      <w:r w:rsidRPr="00A904D9">
        <w:rPr>
          <w:rFonts w:ascii="Arial" w:eastAsia="Times New Roman" w:hAnsi="Arial" w:cs="Arial"/>
          <w:color w:val="000000"/>
          <w:kern w:val="0"/>
          <w:sz w:val="21"/>
          <w:szCs w:val="21"/>
          <w:lang w:eastAsia="it-IT"/>
          <w14:ligatures w14:val="none"/>
        </w:rPr>
        <w:t>(ad anno scolastico) previsti per i </w:t>
      </w:r>
      <w:r w:rsidRPr="00A904D9">
        <w:rPr>
          <w:rFonts w:ascii="Arial" w:eastAsia="Times New Roman" w:hAnsi="Arial" w:cs="Arial"/>
          <w:b/>
          <w:bCs/>
          <w:color w:val="000000"/>
          <w:kern w:val="0"/>
          <w:sz w:val="21"/>
          <w:szCs w:val="21"/>
          <w:lang w:eastAsia="it-IT"/>
          <w14:ligatures w14:val="none"/>
        </w:rPr>
        <w:t>lavoratori della scuola con contratto a tempo determinato e termine 31 agosto</w:t>
      </w:r>
      <w:r w:rsidRPr="00A904D9">
        <w:rPr>
          <w:rFonts w:ascii="Arial" w:eastAsia="Times New Roman" w:hAnsi="Arial" w:cs="Arial"/>
          <w:color w:val="000000"/>
          <w:kern w:val="0"/>
          <w:sz w:val="21"/>
          <w:szCs w:val="21"/>
          <w:lang w:eastAsia="it-IT"/>
          <w14:ligatures w14:val="none"/>
        </w:rPr>
        <w:t> (supplenza annuale) </w:t>
      </w:r>
      <w:r w:rsidRPr="00A904D9">
        <w:rPr>
          <w:rFonts w:ascii="Arial" w:eastAsia="Times New Roman" w:hAnsi="Arial" w:cs="Arial"/>
          <w:b/>
          <w:bCs/>
          <w:color w:val="000000"/>
          <w:kern w:val="0"/>
          <w:sz w:val="21"/>
          <w:szCs w:val="21"/>
          <w:lang w:eastAsia="it-IT"/>
          <w14:ligatures w14:val="none"/>
        </w:rPr>
        <w:t>o 30 giugno</w:t>
      </w:r>
      <w:r w:rsidRPr="00A904D9">
        <w:rPr>
          <w:rFonts w:ascii="Arial" w:eastAsia="Times New Roman" w:hAnsi="Arial" w:cs="Arial"/>
          <w:color w:val="000000"/>
          <w:kern w:val="0"/>
          <w:sz w:val="21"/>
          <w:szCs w:val="21"/>
          <w:lang w:eastAsia="it-IT"/>
          <w14:ligatures w14:val="none"/>
        </w:rPr>
        <w:t> (fino al termine delle attività didattiche).</w:t>
      </w:r>
    </w:p>
    <w:p w14:paraId="0B104BCA"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Infatti il nuovo articolo 35 del CCNL, nella parte in cui affronta l’argomento, recita:</w:t>
      </w:r>
    </w:p>
    <w:p w14:paraId="0B382F52"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w:t>
      </w:r>
      <w:r w:rsidRPr="00A904D9">
        <w:rPr>
          <w:rFonts w:ascii="Arial" w:eastAsia="Times New Roman" w:hAnsi="Arial" w:cs="Arial"/>
          <w:i/>
          <w:iCs/>
          <w:color w:val="000000"/>
          <w:kern w:val="0"/>
          <w:sz w:val="21"/>
          <w:szCs w:val="21"/>
          <w:lang w:eastAsia="it-IT"/>
          <w14:ligatures w14:val="none"/>
        </w:rPr>
        <w:t xml:space="preserve">Il personale docente, educativo ed ATA assunto con contratto a tempo determinato per l'intero anno scolastico (31 agosto) o fino al termine delle attività didattiche (30 giugno), ivi compreso quello di cui al comma 5, ha diritto, a domanda, a tre giorni di permesso retribuito </w:t>
      </w:r>
      <w:proofErr w:type="spellStart"/>
      <w:r w:rsidRPr="00A904D9">
        <w:rPr>
          <w:rFonts w:ascii="Arial" w:eastAsia="Times New Roman" w:hAnsi="Arial" w:cs="Arial"/>
          <w:i/>
          <w:iCs/>
          <w:color w:val="000000"/>
          <w:kern w:val="0"/>
          <w:sz w:val="21"/>
          <w:szCs w:val="21"/>
          <w:lang w:eastAsia="it-IT"/>
          <w14:ligatures w14:val="none"/>
        </w:rPr>
        <w:t>nell</w:t>
      </w:r>
      <w:proofErr w:type="spellEnd"/>
      <w:r w:rsidRPr="00A904D9">
        <w:rPr>
          <w:rFonts w:ascii="Arial" w:eastAsia="Times New Roman" w:hAnsi="Arial" w:cs="Arial"/>
          <w:i/>
          <w:iCs/>
          <w:color w:val="000000"/>
          <w:kern w:val="0"/>
          <w:sz w:val="21"/>
          <w:szCs w:val="21"/>
          <w:rtl/>
          <w:lang w:eastAsia="it-IT"/>
          <w14:ligatures w14:val="none"/>
        </w:rPr>
        <w:t>’</w:t>
      </w:r>
      <w:r w:rsidRPr="00A904D9">
        <w:rPr>
          <w:rFonts w:ascii="Arial" w:eastAsia="Times New Roman" w:hAnsi="Arial" w:cs="Arial"/>
          <w:i/>
          <w:iCs/>
          <w:color w:val="000000"/>
          <w:kern w:val="0"/>
          <w:sz w:val="21"/>
          <w:szCs w:val="21"/>
          <w:lang w:eastAsia="it-IT"/>
          <w14:ligatures w14:val="none"/>
        </w:rPr>
        <w:t>anno scolastico, per motivi personali o familiari, documentati anche mediante autocertificazione.</w:t>
      </w:r>
      <w:r w:rsidRPr="00A904D9">
        <w:rPr>
          <w:rFonts w:ascii="Arial" w:eastAsia="Times New Roman" w:hAnsi="Arial" w:cs="Arial"/>
          <w:i/>
          <w:iCs/>
          <w:color w:val="000000"/>
          <w:kern w:val="0"/>
          <w:sz w:val="21"/>
          <w:szCs w:val="21"/>
          <w:lang w:eastAsia="it-IT"/>
          <w14:ligatures w14:val="none"/>
        </w:rPr>
        <w:br/>
        <w:t xml:space="preserve">Per il personale ATA tali permessi possono anche essere fruiti ad ore, con le modalità di cui </w:t>
      </w:r>
      <w:proofErr w:type="spellStart"/>
      <w:r w:rsidRPr="00A904D9">
        <w:rPr>
          <w:rFonts w:ascii="Arial" w:eastAsia="Times New Roman" w:hAnsi="Arial" w:cs="Arial"/>
          <w:i/>
          <w:iCs/>
          <w:color w:val="000000"/>
          <w:kern w:val="0"/>
          <w:sz w:val="21"/>
          <w:szCs w:val="21"/>
          <w:lang w:eastAsia="it-IT"/>
          <w14:ligatures w14:val="none"/>
        </w:rPr>
        <w:t>all</w:t>
      </w:r>
      <w:proofErr w:type="spellEnd"/>
      <w:r w:rsidRPr="00A904D9">
        <w:rPr>
          <w:rFonts w:ascii="Arial" w:eastAsia="Times New Roman" w:hAnsi="Arial" w:cs="Arial"/>
          <w:i/>
          <w:iCs/>
          <w:color w:val="000000"/>
          <w:kern w:val="0"/>
          <w:sz w:val="21"/>
          <w:szCs w:val="21"/>
          <w:rtl/>
          <w:lang w:eastAsia="it-IT"/>
          <w14:ligatures w14:val="none"/>
        </w:rPr>
        <w:t>’</w:t>
      </w:r>
      <w:r w:rsidRPr="00A904D9">
        <w:rPr>
          <w:rFonts w:ascii="Arial" w:eastAsia="Times New Roman" w:hAnsi="Arial" w:cs="Arial"/>
          <w:i/>
          <w:iCs/>
          <w:color w:val="000000"/>
          <w:kern w:val="0"/>
          <w:sz w:val="21"/>
          <w:szCs w:val="21"/>
          <w:lang w:eastAsia="it-IT"/>
          <w14:ligatures w14:val="none"/>
        </w:rPr>
        <w:t>art. 67 (permessi orari retribuiti per motivi personali o familiari).</w:t>
      </w:r>
      <w:r w:rsidRPr="00A904D9">
        <w:rPr>
          <w:rFonts w:ascii="Arial" w:eastAsia="Times New Roman" w:hAnsi="Arial" w:cs="Arial"/>
          <w:color w:val="000000"/>
          <w:kern w:val="0"/>
          <w:sz w:val="21"/>
          <w:szCs w:val="21"/>
          <w:lang w:eastAsia="it-IT"/>
          <w14:ligatures w14:val="none"/>
        </w:rPr>
        <w:t>”</w:t>
      </w:r>
    </w:p>
    <w:p w14:paraId="057C1357" w14:textId="77777777" w:rsidR="00A904D9" w:rsidRPr="00A904D9" w:rsidRDefault="00A904D9" w:rsidP="00A904D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904D9">
        <w:rPr>
          <w:rFonts w:ascii="Arial" w:eastAsia="Times New Roman" w:hAnsi="Arial" w:cs="Arial"/>
          <w:color w:val="000000"/>
          <w:kern w:val="0"/>
          <w:sz w:val="21"/>
          <w:szCs w:val="21"/>
          <w:lang w:eastAsia="it-IT"/>
          <w14:ligatures w14:val="none"/>
        </w:rPr>
        <w:t>Si tratta di una </w:t>
      </w:r>
      <w:r w:rsidRPr="00A904D9">
        <w:rPr>
          <w:rFonts w:ascii="Arial" w:eastAsia="Times New Roman" w:hAnsi="Arial" w:cs="Arial"/>
          <w:b/>
          <w:bCs/>
          <w:color w:val="000000"/>
          <w:kern w:val="0"/>
          <w:sz w:val="21"/>
          <w:szCs w:val="21"/>
          <w:lang w:eastAsia="it-IT"/>
          <w14:ligatures w14:val="none"/>
        </w:rPr>
        <w:t>conquista importante voluta fortemente dalla FLC CGIL</w:t>
      </w:r>
      <w:r w:rsidRPr="00A904D9">
        <w:rPr>
          <w:rFonts w:ascii="Arial" w:eastAsia="Times New Roman" w:hAnsi="Arial" w:cs="Arial"/>
          <w:color w:val="000000"/>
          <w:kern w:val="0"/>
          <w:sz w:val="21"/>
          <w:szCs w:val="21"/>
          <w:lang w:eastAsia="it-IT"/>
          <w14:ligatures w14:val="none"/>
        </w:rPr>
        <w:t>.</w:t>
      </w:r>
      <w:r w:rsidRPr="00A904D9">
        <w:rPr>
          <w:rFonts w:ascii="Arial" w:eastAsia="Times New Roman" w:hAnsi="Arial" w:cs="Arial"/>
          <w:color w:val="000000"/>
          <w:kern w:val="0"/>
          <w:sz w:val="21"/>
          <w:szCs w:val="21"/>
          <w:lang w:eastAsia="it-IT"/>
          <w14:ligatures w14:val="none"/>
        </w:rPr>
        <w:br/>
        <w:t>Una misura che ha richiesto risorse ingenti per dare copertura finanziaria alla fruizione dei permessi, ma giusta, perché va nella direzione della </w:t>
      </w:r>
      <w:r w:rsidRPr="00A904D9">
        <w:rPr>
          <w:rFonts w:ascii="Arial" w:eastAsia="Times New Roman" w:hAnsi="Arial" w:cs="Arial"/>
          <w:b/>
          <w:bCs/>
          <w:color w:val="000000"/>
          <w:kern w:val="0"/>
          <w:sz w:val="21"/>
          <w:szCs w:val="21"/>
          <w:lang w:eastAsia="it-IT"/>
          <w14:ligatures w14:val="none"/>
        </w:rPr>
        <w:t>equiparazione dei diritti</w:t>
      </w:r>
      <w:r w:rsidRPr="00A904D9">
        <w:rPr>
          <w:rFonts w:ascii="Arial" w:eastAsia="Times New Roman" w:hAnsi="Arial" w:cs="Arial"/>
          <w:color w:val="000000"/>
          <w:kern w:val="0"/>
          <w:sz w:val="21"/>
          <w:szCs w:val="21"/>
          <w:lang w:eastAsia="it-IT"/>
          <w14:ligatures w14:val="none"/>
        </w:rPr>
        <w:t> tra lavoratori a tempo determinato e indeterminato.</w:t>
      </w:r>
    </w:p>
    <w:sectPr w:rsidR="00A904D9" w:rsidRPr="00A904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36C"/>
    <w:multiLevelType w:val="multilevel"/>
    <w:tmpl w:val="558A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D2329"/>
    <w:multiLevelType w:val="multilevel"/>
    <w:tmpl w:val="185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6E10C6"/>
    <w:multiLevelType w:val="multilevel"/>
    <w:tmpl w:val="7B3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6194E"/>
    <w:multiLevelType w:val="multilevel"/>
    <w:tmpl w:val="0FC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955350">
    <w:abstractNumId w:val="1"/>
  </w:num>
  <w:num w:numId="2" w16cid:durableId="689918651">
    <w:abstractNumId w:val="2"/>
  </w:num>
  <w:num w:numId="3" w16cid:durableId="894313259">
    <w:abstractNumId w:val="3"/>
  </w:num>
  <w:num w:numId="4" w16cid:durableId="95965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D9"/>
    <w:rsid w:val="000D0D40"/>
    <w:rsid w:val="000D0EC2"/>
    <w:rsid w:val="00A904D9"/>
    <w:rsid w:val="00AF3031"/>
    <w:rsid w:val="00C16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D4EB"/>
  <w15:chartTrackingRefBased/>
  <w15:docId w15:val="{287F474A-5AE0-4CFC-8737-AB7A888C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1737">
      <w:bodyDiv w:val="1"/>
      <w:marLeft w:val="0"/>
      <w:marRight w:val="0"/>
      <w:marTop w:val="0"/>
      <w:marBottom w:val="0"/>
      <w:divBdr>
        <w:top w:val="none" w:sz="0" w:space="0" w:color="auto"/>
        <w:left w:val="none" w:sz="0" w:space="0" w:color="auto"/>
        <w:bottom w:val="none" w:sz="0" w:space="0" w:color="auto"/>
        <w:right w:val="none" w:sz="0" w:space="0" w:color="auto"/>
      </w:divBdr>
      <w:divsChild>
        <w:div w:id="1082796053">
          <w:marLeft w:val="0"/>
          <w:marRight w:val="0"/>
          <w:marTop w:val="150"/>
          <w:marBottom w:val="150"/>
          <w:divBdr>
            <w:top w:val="none" w:sz="0" w:space="0" w:color="auto"/>
            <w:left w:val="none" w:sz="0" w:space="0" w:color="auto"/>
            <w:bottom w:val="single" w:sz="6" w:space="0" w:color="CCCCCC"/>
            <w:right w:val="none" w:sz="0" w:space="0" w:color="auto"/>
          </w:divBdr>
          <w:divsChild>
            <w:div w:id="1711609159">
              <w:marLeft w:val="0"/>
              <w:marRight w:val="0"/>
              <w:marTop w:val="0"/>
              <w:marBottom w:val="0"/>
              <w:divBdr>
                <w:top w:val="none" w:sz="0" w:space="0" w:color="auto"/>
                <w:left w:val="none" w:sz="0" w:space="0" w:color="auto"/>
                <w:bottom w:val="none" w:sz="0" w:space="0" w:color="auto"/>
                <w:right w:val="none" w:sz="0" w:space="0" w:color="auto"/>
              </w:divBdr>
            </w:div>
          </w:divsChild>
        </w:div>
        <w:div w:id="881357755">
          <w:marLeft w:val="0"/>
          <w:marRight w:val="0"/>
          <w:marTop w:val="0"/>
          <w:marBottom w:val="0"/>
          <w:divBdr>
            <w:top w:val="none" w:sz="0" w:space="0" w:color="auto"/>
            <w:left w:val="none" w:sz="0" w:space="0" w:color="auto"/>
            <w:bottom w:val="none" w:sz="0" w:space="0" w:color="auto"/>
            <w:right w:val="none" w:sz="0" w:space="0" w:color="auto"/>
          </w:divBdr>
          <w:divsChild>
            <w:div w:id="1283150728">
              <w:marLeft w:val="75"/>
              <w:marRight w:val="150"/>
              <w:marTop w:val="45"/>
              <w:marBottom w:val="75"/>
              <w:divBdr>
                <w:top w:val="none" w:sz="0" w:space="0" w:color="auto"/>
                <w:left w:val="none" w:sz="0" w:space="0" w:color="auto"/>
                <w:bottom w:val="none" w:sz="0" w:space="0" w:color="auto"/>
                <w:right w:val="none" w:sz="0" w:space="0" w:color="auto"/>
              </w:divBdr>
            </w:div>
            <w:div w:id="375396602">
              <w:marLeft w:val="300"/>
              <w:marRight w:val="150"/>
              <w:marTop w:val="75"/>
              <w:marBottom w:val="0"/>
              <w:divBdr>
                <w:top w:val="none" w:sz="0" w:space="0" w:color="auto"/>
                <w:left w:val="none" w:sz="0" w:space="0" w:color="auto"/>
                <w:bottom w:val="none" w:sz="0" w:space="0" w:color="auto"/>
                <w:right w:val="none" w:sz="0" w:space="0" w:color="auto"/>
              </w:divBdr>
            </w:div>
            <w:div w:id="1184056960">
              <w:marLeft w:val="300"/>
              <w:marRight w:val="150"/>
              <w:marTop w:val="75"/>
              <w:marBottom w:val="0"/>
              <w:divBdr>
                <w:top w:val="none" w:sz="0" w:space="0" w:color="auto"/>
                <w:left w:val="none" w:sz="0" w:space="0" w:color="auto"/>
                <w:bottom w:val="none" w:sz="0" w:space="0" w:color="auto"/>
                <w:right w:val="none" w:sz="0" w:space="0" w:color="auto"/>
              </w:divBdr>
            </w:div>
          </w:divsChild>
        </w:div>
        <w:div w:id="559941228">
          <w:marLeft w:val="0"/>
          <w:marRight w:val="0"/>
          <w:marTop w:val="75"/>
          <w:marBottom w:val="150"/>
          <w:divBdr>
            <w:top w:val="none" w:sz="0" w:space="0" w:color="auto"/>
            <w:left w:val="none" w:sz="0" w:space="0" w:color="auto"/>
            <w:bottom w:val="none" w:sz="0" w:space="0" w:color="auto"/>
            <w:right w:val="none" w:sz="0" w:space="0" w:color="auto"/>
          </w:divBdr>
        </w:div>
      </w:divsChild>
    </w:div>
    <w:div w:id="709457867">
      <w:bodyDiv w:val="1"/>
      <w:marLeft w:val="0"/>
      <w:marRight w:val="0"/>
      <w:marTop w:val="0"/>
      <w:marBottom w:val="0"/>
      <w:divBdr>
        <w:top w:val="none" w:sz="0" w:space="0" w:color="auto"/>
        <w:left w:val="none" w:sz="0" w:space="0" w:color="auto"/>
        <w:bottom w:val="none" w:sz="0" w:space="0" w:color="auto"/>
        <w:right w:val="none" w:sz="0" w:space="0" w:color="auto"/>
      </w:divBdr>
      <w:divsChild>
        <w:div w:id="1280067145">
          <w:marLeft w:val="0"/>
          <w:marRight w:val="0"/>
          <w:marTop w:val="150"/>
          <w:marBottom w:val="150"/>
          <w:divBdr>
            <w:top w:val="none" w:sz="0" w:space="0" w:color="auto"/>
            <w:left w:val="none" w:sz="0" w:space="0" w:color="auto"/>
            <w:bottom w:val="single" w:sz="6" w:space="0" w:color="CCCCCC"/>
            <w:right w:val="none" w:sz="0" w:space="0" w:color="auto"/>
          </w:divBdr>
          <w:divsChild>
            <w:div w:id="1640379381">
              <w:marLeft w:val="0"/>
              <w:marRight w:val="0"/>
              <w:marTop w:val="0"/>
              <w:marBottom w:val="0"/>
              <w:divBdr>
                <w:top w:val="none" w:sz="0" w:space="0" w:color="auto"/>
                <w:left w:val="none" w:sz="0" w:space="0" w:color="auto"/>
                <w:bottom w:val="none" w:sz="0" w:space="0" w:color="auto"/>
                <w:right w:val="none" w:sz="0" w:space="0" w:color="auto"/>
              </w:divBdr>
            </w:div>
          </w:divsChild>
        </w:div>
        <w:div w:id="1506018711">
          <w:marLeft w:val="0"/>
          <w:marRight w:val="0"/>
          <w:marTop w:val="0"/>
          <w:marBottom w:val="0"/>
          <w:divBdr>
            <w:top w:val="none" w:sz="0" w:space="0" w:color="auto"/>
            <w:left w:val="none" w:sz="0" w:space="0" w:color="auto"/>
            <w:bottom w:val="none" w:sz="0" w:space="0" w:color="auto"/>
            <w:right w:val="none" w:sz="0" w:space="0" w:color="auto"/>
          </w:divBdr>
          <w:divsChild>
            <w:div w:id="214464430">
              <w:marLeft w:val="75"/>
              <w:marRight w:val="150"/>
              <w:marTop w:val="45"/>
              <w:marBottom w:val="75"/>
              <w:divBdr>
                <w:top w:val="none" w:sz="0" w:space="0" w:color="auto"/>
                <w:left w:val="none" w:sz="0" w:space="0" w:color="auto"/>
                <w:bottom w:val="none" w:sz="0" w:space="0" w:color="auto"/>
                <w:right w:val="none" w:sz="0" w:space="0" w:color="auto"/>
              </w:divBdr>
            </w:div>
            <w:div w:id="1964921470">
              <w:marLeft w:val="300"/>
              <w:marRight w:val="150"/>
              <w:marTop w:val="75"/>
              <w:marBottom w:val="0"/>
              <w:divBdr>
                <w:top w:val="none" w:sz="0" w:space="0" w:color="auto"/>
                <w:left w:val="none" w:sz="0" w:space="0" w:color="auto"/>
                <w:bottom w:val="none" w:sz="0" w:space="0" w:color="auto"/>
                <w:right w:val="none" w:sz="0" w:space="0" w:color="auto"/>
              </w:divBdr>
            </w:div>
            <w:div w:id="1167869412">
              <w:marLeft w:val="300"/>
              <w:marRight w:val="150"/>
              <w:marTop w:val="75"/>
              <w:marBottom w:val="0"/>
              <w:divBdr>
                <w:top w:val="none" w:sz="0" w:space="0" w:color="auto"/>
                <w:left w:val="none" w:sz="0" w:space="0" w:color="auto"/>
                <w:bottom w:val="none" w:sz="0" w:space="0" w:color="auto"/>
                <w:right w:val="none" w:sz="0" w:space="0" w:color="auto"/>
              </w:divBdr>
            </w:div>
          </w:divsChild>
        </w:div>
        <w:div w:id="1639797934">
          <w:marLeft w:val="0"/>
          <w:marRight w:val="0"/>
          <w:marTop w:val="75"/>
          <w:marBottom w:val="150"/>
          <w:divBdr>
            <w:top w:val="none" w:sz="0" w:space="0" w:color="auto"/>
            <w:left w:val="none" w:sz="0" w:space="0" w:color="auto"/>
            <w:bottom w:val="none" w:sz="0" w:space="0" w:color="auto"/>
            <w:right w:val="none" w:sz="0" w:space="0" w:color="auto"/>
          </w:divBdr>
          <w:divsChild>
            <w:div w:id="6947609">
              <w:marLeft w:val="0"/>
              <w:marRight w:val="0"/>
              <w:marTop w:val="45"/>
              <w:marBottom w:val="0"/>
              <w:divBdr>
                <w:top w:val="none" w:sz="0" w:space="0" w:color="auto"/>
                <w:left w:val="single" w:sz="48" w:space="0" w:color="FFFFFF"/>
                <w:bottom w:val="single" w:sz="48" w:space="0" w:color="FFFFFF"/>
                <w:right w:val="none" w:sz="0" w:space="0" w:color="auto"/>
              </w:divBdr>
              <w:divsChild>
                <w:div w:id="1718361377">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210610729">
      <w:bodyDiv w:val="1"/>
      <w:marLeft w:val="0"/>
      <w:marRight w:val="0"/>
      <w:marTop w:val="0"/>
      <w:marBottom w:val="0"/>
      <w:divBdr>
        <w:top w:val="none" w:sz="0" w:space="0" w:color="auto"/>
        <w:left w:val="none" w:sz="0" w:space="0" w:color="auto"/>
        <w:bottom w:val="none" w:sz="0" w:space="0" w:color="auto"/>
        <w:right w:val="none" w:sz="0" w:space="0" w:color="auto"/>
      </w:divBdr>
      <w:divsChild>
        <w:div w:id="522521032">
          <w:marLeft w:val="0"/>
          <w:marRight w:val="0"/>
          <w:marTop w:val="150"/>
          <w:marBottom w:val="150"/>
          <w:divBdr>
            <w:top w:val="none" w:sz="0" w:space="0" w:color="auto"/>
            <w:left w:val="none" w:sz="0" w:space="0" w:color="auto"/>
            <w:bottom w:val="single" w:sz="6" w:space="0" w:color="CCCCCC"/>
            <w:right w:val="none" w:sz="0" w:space="0" w:color="auto"/>
          </w:divBdr>
          <w:divsChild>
            <w:div w:id="794518035">
              <w:marLeft w:val="0"/>
              <w:marRight w:val="0"/>
              <w:marTop w:val="0"/>
              <w:marBottom w:val="0"/>
              <w:divBdr>
                <w:top w:val="none" w:sz="0" w:space="0" w:color="auto"/>
                <w:left w:val="none" w:sz="0" w:space="0" w:color="auto"/>
                <w:bottom w:val="none" w:sz="0" w:space="0" w:color="auto"/>
                <w:right w:val="none" w:sz="0" w:space="0" w:color="auto"/>
              </w:divBdr>
            </w:div>
          </w:divsChild>
        </w:div>
        <w:div w:id="281574842">
          <w:marLeft w:val="0"/>
          <w:marRight w:val="0"/>
          <w:marTop w:val="0"/>
          <w:marBottom w:val="0"/>
          <w:divBdr>
            <w:top w:val="none" w:sz="0" w:space="0" w:color="auto"/>
            <w:left w:val="none" w:sz="0" w:space="0" w:color="auto"/>
            <w:bottom w:val="none" w:sz="0" w:space="0" w:color="auto"/>
            <w:right w:val="none" w:sz="0" w:space="0" w:color="auto"/>
          </w:divBdr>
          <w:divsChild>
            <w:div w:id="1282147953">
              <w:marLeft w:val="75"/>
              <w:marRight w:val="150"/>
              <w:marTop w:val="45"/>
              <w:marBottom w:val="75"/>
              <w:divBdr>
                <w:top w:val="none" w:sz="0" w:space="0" w:color="auto"/>
                <w:left w:val="none" w:sz="0" w:space="0" w:color="auto"/>
                <w:bottom w:val="none" w:sz="0" w:space="0" w:color="auto"/>
                <w:right w:val="none" w:sz="0" w:space="0" w:color="auto"/>
              </w:divBdr>
            </w:div>
            <w:div w:id="810175235">
              <w:marLeft w:val="300"/>
              <w:marRight w:val="150"/>
              <w:marTop w:val="75"/>
              <w:marBottom w:val="0"/>
              <w:divBdr>
                <w:top w:val="none" w:sz="0" w:space="0" w:color="auto"/>
                <w:left w:val="none" w:sz="0" w:space="0" w:color="auto"/>
                <w:bottom w:val="none" w:sz="0" w:space="0" w:color="auto"/>
                <w:right w:val="none" w:sz="0" w:space="0" w:color="auto"/>
              </w:divBdr>
            </w:div>
            <w:div w:id="1217165197">
              <w:marLeft w:val="300"/>
              <w:marRight w:val="150"/>
              <w:marTop w:val="75"/>
              <w:marBottom w:val="0"/>
              <w:divBdr>
                <w:top w:val="none" w:sz="0" w:space="0" w:color="auto"/>
                <w:left w:val="none" w:sz="0" w:space="0" w:color="auto"/>
                <w:bottom w:val="none" w:sz="0" w:space="0" w:color="auto"/>
                <w:right w:val="none" w:sz="0" w:space="0" w:color="auto"/>
              </w:divBdr>
            </w:div>
          </w:divsChild>
        </w:div>
        <w:div w:id="1876194461">
          <w:marLeft w:val="0"/>
          <w:marRight w:val="0"/>
          <w:marTop w:val="75"/>
          <w:marBottom w:val="150"/>
          <w:divBdr>
            <w:top w:val="none" w:sz="0" w:space="0" w:color="auto"/>
            <w:left w:val="none" w:sz="0" w:space="0" w:color="auto"/>
            <w:bottom w:val="none" w:sz="0" w:space="0" w:color="auto"/>
            <w:right w:val="none" w:sz="0" w:space="0" w:color="auto"/>
          </w:divBdr>
        </w:div>
      </w:divsChild>
    </w:div>
    <w:div w:id="1957441561">
      <w:bodyDiv w:val="1"/>
      <w:marLeft w:val="0"/>
      <w:marRight w:val="0"/>
      <w:marTop w:val="0"/>
      <w:marBottom w:val="0"/>
      <w:divBdr>
        <w:top w:val="none" w:sz="0" w:space="0" w:color="auto"/>
        <w:left w:val="none" w:sz="0" w:space="0" w:color="auto"/>
        <w:bottom w:val="none" w:sz="0" w:space="0" w:color="auto"/>
        <w:right w:val="none" w:sz="0" w:space="0" w:color="auto"/>
      </w:divBdr>
      <w:divsChild>
        <w:div w:id="600335278">
          <w:marLeft w:val="0"/>
          <w:marRight w:val="0"/>
          <w:marTop w:val="150"/>
          <w:marBottom w:val="150"/>
          <w:divBdr>
            <w:top w:val="none" w:sz="0" w:space="0" w:color="auto"/>
            <w:left w:val="none" w:sz="0" w:space="0" w:color="auto"/>
            <w:bottom w:val="single" w:sz="6" w:space="0" w:color="CCCCCC"/>
            <w:right w:val="none" w:sz="0" w:space="0" w:color="auto"/>
          </w:divBdr>
          <w:divsChild>
            <w:div w:id="136915895">
              <w:marLeft w:val="0"/>
              <w:marRight w:val="0"/>
              <w:marTop w:val="0"/>
              <w:marBottom w:val="0"/>
              <w:divBdr>
                <w:top w:val="none" w:sz="0" w:space="0" w:color="auto"/>
                <w:left w:val="none" w:sz="0" w:space="0" w:color="auto"/>
                <w:bottom w:val="none" w:sz="0" w:space="0" w:color="auto"/>
                <w:right w:val="none" w:sz="0" w:space="0" w:color="auto"/>
              </w:divBdr>
            </w:div>
          </w:divsChild>
        </w:div>
        <w:div w:id="337929268">
          <w:marLeft w:val="0"/>
          <w:marRight w:val="0"/>
          <w:marTop w:val="0"/>
          <w:marBottom w:val="0"/>
          <w:divBdr>
            <w:top w:val="none" w:sz="0" w:space="0" w:color="auto"/>
            <w:left w:val="none" w:sz="0" w:space="0" w:color="auto"/>
            <w:bottom w:val="none" w:sz="0" w:space="0" w:color="auto"/>
            <w:right w:val="none" w:sz="0" w:space="0" w:color="auto"/>
          </w:divBdr>
          <w:divsChild>
            <w:div w:id="1085229073">
              <w:marLeft w:val="75"/>
              <w:marRight w:val="150"/>
              <w:marTop w:val="45"/>
              <w:marBottom w:val="75"/>
              <w:divBdr>
                <w:top w:val="none" w:sz="0" w:space="0" w:color="auto"/>
                <w:left w:val="none" w:sz="0" w:space="0" w:color="auto"/>
                <w:bottom w:val="none" w:sz="0" w:space="0" w:color="auto"/>
                <w:right w:val="none" w:sz="0" w:space="0" w:color="auto"/>
              </w:divBdr>
            </w:div>
            <w:div w:id="1127285820">
              <w:marLeft w:val="300"/>
              <w:marRight w:val="150"/>
              <w:marTop w:val="75"/>
              <w:marBottom w:val="0"/>
              <w:divBdr>
                <w:top w:val="none" w:sz="0" w:space="0" w:color="auto"/>
                <w:left w:val="none" w:sz="0" w:space="0" w:color="auto"/>
                <w:bottom w:val="none" w:sz="0" w:space="0" w:color="auto"/>
                <w:right w:val="none" w:sz="0" w:space="0" w:color="auto"/>
              </w:divBdr>
            </w:div>
            <w:div w:id="1978608857">
              <w:marLeft w:val="300"/>
              <w:marRight w:val="150"/>
              <w:marTop w:val="75"/>
              <w:marBottom w:val="0"/>
              <w:divBdr>
                <w:top w:val="none" w:sz="0" w:space="0" w:color="auto"/>
                <w:left w:val="none" w:sz="0" w:space="0" w:color="auto"/>
                <w:bottom w:val="none" w:sz="0" w:space="0" w:color="auto"/>
                <w:right w:val="none" w:sz="0" w:space="0" w:color="auto"/>
              </w:divBdr>
            </w:div>
          </w:divsChild>
        </w:div>
        <w:div w:id="366495512">
          <w:marLeft w:val="0"/>
          <w:marRight w:val="0"/>
          <w:marTop w:val="75"/>
          <w:marBottom w:val="150"/>
          <w:divBdr>
            <w:top w:val="none" w:sz="0" w:space="0" w:color="auto"/>
            <w:left w:val="none" w:sz="0" w:space="0" w:color="auto"/>
            <w:bottom w:val="none" w:sz="0" w:space="0" w:color="auto"/>
            <w:right w:val="none" w:sz="0" w:space="0" w:color="auto"/>
          </w:divBdr>
          <w:divsChild>
            <w:div w:id="105927516">
              <w:marLeft w:val="0"/>
              <w:marRight w:val="0"/>
              <w:marTop w:val="45"/>
              <w:marBottom w:val="0"/>
              <w:divBdr>
                <w:top w:val="none" w:sz="0" w:space="0" w:color="auto"/>
                <w:left w:val="single" w:sz="48" w:space="0" w:color="FFFFFF"/>
                <w:bottom w:val="single" w:sz="48" w:space="0" w:color="FFFFFF"/>
                <w:right w:val="none" w:sz="0" w:space="0" w:color="auto"/>
              </w:divBdr>
              <w:divsChild>
                <w:div w:id="60649831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attualita/la-scuola-del-made-in-italy-senza-bambini.fl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cgil.it/scuola/docenti/secondo-ciclo/liceo-del-made-in-italy-la-flc-cgil-scrive-ai-licei-che-il-ddl-intende-cancellare-dal-2024-25.flc" TargetMode="External"/><Relationship Id="rId12" Type="http://schemas.openxmlformats.org/officeDocument/2006/relationships/hyperlink" Target="https://www.flcgil.it/scuola/scuola-ccnl-istruzione-e-ricerca-2019-2021-novita-firma-definitiva-contratto.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scuola/docenti/secondo-ciclo/liceo-del-made-in-italy-soppressa-esperienza-les-in-provvedimento-che-vede-scuola-condizionata-esigenze-impresa.flc" TargetMode="External"/><Relationship Id="rId11" Type="http://schemas.openxmlformats.org/officeDocument/2006/relationships/hyperlink" Target="https://www.flcgil.it/scuola/precari/corsi-abilitanti-confronto-con-i-due-ministeri-mim-e-mur-sull-avvio-dei-corsi.flc" TargetMode="External"/><Relationship Id="rId5" Type="http://schemas.openxmlformats.org/officeDocument/2006/relationships/hyperlink" Target="https://unica.istruzione.gov.it/it/orientamento/guida-alla-scelta/dal-sistema-integrato-0-6-anni-al-secondo-ciclo-di-istruzione/nuovo-liceo-made-in-italy" TargetMode="External"/><Relationship Id="rId10" Type="http://schemas.openxmlformats.org/officeDocument/2006/relationships/hyperlink" Target="https://www.flcgil.it/scuola/percorsi-formativi-abilitanti-in-via-di-definizione-contingenti-e-criteri-di-selezione-dei-tutor.flc" TargetMode="External"/><Relationship Id="rId4" Type="http://schemas.openxmlformats.org/officeDocument/2006/relationships/webSettings" Target="webSettings.xml"/><Relationship Id="rId9" Type="http://schemas.openxmlformats.org/officeDocument/2006/relationships/hyperlink" Target="https://www.flcgil.it/leggi-normative/documenti/decreti-interministeriali/decreto-interministeriale-256-del-28-dicembre-2023-selezione-docenti-scuola-secondaria-con-compiti-di-tutor-percorsi-abilitanti-formazione-iniziale.fl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2605</Words>
  <Characters>14853</Characters>
  <Application>Microsoft Office Word</Application>
  <DocSecurity>0</DocSecurity>
  <Lines>123</Lines>
  <Paragraphs>34</Paragraphs>
  <ScaleCrop>false</ScaleCrop>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2024-01-26T09:28:00Z</dcterms:created>
  <dcterms:modified xsi:type="dcterms:W3CDTF">2024-01-26T10:24:00Z</dcterms:modified>
</cp:coreProperties>
</file>