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6F333" w14:textId="77777777" w:rsidR="006F71FA" w:rsidRPr="006F71FA" w:rsidRDefault="006F71FA" w:rsidP="006F71FA">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6F71FA">
        <w:rPr>
          <w:rFonts w:ascii="Tahoma" w:eastAsia="Times New Roman" w:hAnsi="Tahoma" w:cs="Tahoma"/>
          <w:color w:val="DC3B33"/>
          <w:kern w:val="36"/>
          <w:sz w:val="45"/>
          <w:szCs w:val="45"/>
          <w:lang w:eastAsia="it-IT"/>
          <w14:ligatures w14:val="none"/>
        </w:rPr>
        <w:t xml:space="preserve">Filiera tecnologico professionale e liceo del made in </w:t>
      </w:r>
      <w:proofErr w:type="spellStart"/>
      <w:r w:rsidRPr="006F71FA">
        <w:rPr>
          <w:rFonts w:ascii="Tahoma" w:eastAsia="Times New Roman" w:hAnsi="Tahoma" w:cs="Tahoma"/>
          <w:color w:val="DC3B33"/>
          <w:kern w:val="36"/>
          <w:sz w:val="45"/>
          <w:szCs w:val="45"/>
          <w:lang w:eastAsia="it-IT"/>
          <w14:ligatures w14:val="none"/>
        </w:rPr>
        <w:t>Italy</w:t>
      </w:r>
      <w:proofErr w:type="spellEnd"/>
      <w:r w:rsidRPr="006F71FA">
        <w:rPr>
          <w:rFonts w:ascii="Tahoma" w:eastAsia="Times New Roman" w:hAnsi="Tahoma" w:cs="Tahoma"/>
          <w:color w:val="DC3B33"/>
          <w:kern w:val="36"/>
          <w:sz w:val="45"/>
          <w:szCs w:val="45"/>
          <w:lang w:eastAsia="it-IT"/>
          <w14:ligatures w14:val="none"/>
        </w:rPr>
        <w:t>: due flop annunciati</w:t>
      </w:r>
    </w:p>
    <w:p w14:paraId="4A9CB39C" w14:textId="77777777" w:rsidR="006F71FA" w:rsidRPr="006F71FA" w:rsidRDefault="006F71FA" w:rsidP="006F71FA">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6F71FA">
        <w:rPr>
          <w:rFonts w:ascii="Arial" w:eastAsia="Times New Roman" w:hAnsi="Arial" w:cs="Arial"/>
          <w:color w:val="535353"/>
          <w:kern w:val="0"/>
          <w:sz w:val="27"/>
          <w:szCs w:val="27"/>
          <w:lang w:eastAsia="it-IT"/>
          <w14:ligatures w14:val="none"/>
        </w:rPr>
        <w:t>Va aperto un confronto diffuso e capillare con chi la scuola la vive e la rappresenta.</w:t>
      </w:r>
    </w:p>
    <w:p w14:paraId="78A33778" w14:textId="77777777" w:rsidR="006F71FA" w:rsidRPr="006F71FA" w:rsidRDefault="006F71FA" w:rsidP="006F71FA">
      <w:pPr>
        <w:shd w:val="clear" w:color="auto" w:fill="FFFFFF"/>
        <w:spacing w:after="0" w:line="240" w:lineRule="auto"/>
        <w:rPr>
          <w:rFonts w:ascii="Arial" w:eastAsia="Times New Roman" w:hAnsi="Arial" w:cs="Arial"/>
          <w:color w:val="4D4D4D"/>
          <w:kern w:val="0"/>
          <w:sz w:val="21"/>
          <w:szCs w:val="21"/>
          <w:lang w:eastAsia="it-IT"/>
          <w14:ligatures w14:val="none"/>
        </w:rPr>
      </w:pPr>
      <w:r w:rsidRPr="006F71FA">
        <w:rPr>
          <w:rFonts w:ascii="Arial" w:eastAsia="Times New Roman" w:hAnsi="Arial" w:cs="Arial"/>
          <w:b/>
          <w:bCs/>
          <w:color w:val="4D4D4D"/>
          <w:kern w:val="0"/>
          <w:sz w:val="21"/>
          <w:szCs w:val="21"/>
          <w:lang w:eastAsia="it-IT"/>
          <w14:ligatures w14:val="none"/>
        </w:rPr>
        <w:t>13/02/2024</w:t>
      </w:r>
    </w:p>
    <w:p w14:paraId="57786EB8" w14:textId="77777777" w:rsidR="006F71FA" w:rsidRDefault="006F71FA" w:rsidP="006F71F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12D77676" w14:textId="2392F2C7" w:rsidR="006F71FA" w:rsidRPr="006F71FA" w:rsidRDefault="006F71FA" w:rsidP="006F71F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F71FA">
        <w:rPr>
          <w:rFonts w:ascii="Arial" w:eastAsia="Times New Roman" w:hAnsi="Arial" w:cs="Arial"/>
          <w:color w:val="000000"/>
          <w:kern w:val="0"/>
          <w:sz w:val="21"/>
          <w:szCs w:val="21"/>
          <w:lang w:eastAsia="it-IT"/>
          <w14:ligatures w14:val="none"/>
        </w:rPr>
        <w:t>Lunedì 12 febbraio il Ministro della Pubblica istruzione Giuseppe Valditara, ha </w:t>
      </w:r>
      <w:hyperlink r:id="rId5" w:tgtFrame="_blank" w:history="1">
        <w:r w:rsidRPr="006F71FA">
          <w:rPr>
            <w:rFonts w:ascii="Arial" w:eastAsia="Times New Roman" w:hAnsi="Arial" w:cs="Arial"/>
            <w:color w:val="005EB3"/>
            <w:kern w:val="0"/>
            <w:sz w:val="21"/>
            <w:szCs w:val="21"/>
            <w:lang w:eastAsia="it-IT"/>
            <w14:ligatures w14:val="none"/>
          </w:rPr>
          <w:t>reso noti i primi dati sulle iscrizioni</w:t>
        </w:r>
      </w:hyperlink>
      <w:r w:rsidRPr="006F71FA">
        <w:rPr>
          <w:rFonts w:ascii="Arial" w:eastAsia="Times New Roman" w:hAnsi="Arial" w:cs="Arial"/>
          <w:color w:val="000000"/>
          <w:kern w:val="0"/>
          <w:sz w:val="21"/>
          <w:szCs w:val="21"/>
          <w:lang w:eastAsia="it-IT"/>
          <w14:ligatures w14:val="none"/>
        </w:rPr>
        <w:t> - chiuse il 10 febbraio u.s. - operate in base alle scelte delle studentesse e degli studenti per l’anno scolastico 2024/2025. In generale diciamo che il quadro complessivo non modifica gli orientamenti emersi già negli anni precedenti.</w:t>
      </w:r>
    </w:p>
    <w:p w14:paraId="6EE836E6" w14:textId="77777777" w:rsidR="006F71FA" w:rsidRPr="006F71FA" w:rsidRDefault="006F71FA" w:rsidP="006F71F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F71FA">
        <w:rPr>
          <w:rFonts w:ascii="Arial" w:eastAsia="Times New Roman" w:hAnsi="Arial" w:cs="Arial"/>
          <w:color w:val="000000"/>
          <w:kern w:val="0"/>
          <w:sz w:val="21"/>
          <w:szCs w:val="21"/>
          <w:lang w:eastAsia="it-IT"/>
          <w14:ligatures w14:val="none"/>
        </w:rPr>
        <w:t>Infatti, anche quest’anno i dati con cui si sono chiuse le iscrizioni online sulla esordiente piattaforma Unica mostrano che restano in testa alle preferenze i Licei, con i loro diversi indirizzi, che quest’anno vengono scelti dal 55,63% (un dato in lieve calo dell’1,47% paragonato al 57,1% dello scorso anno) mentre gli istituti Tecnici e gli istituti Professionali mostrano un trend delle iscrizioni in lieve crescita rispettivamente al 31,66% (in crescita dello 0,76%, paragonato al 30,9% dello scorso anno) e del 12,72% (contro il 12,1% dello scorso anno, in crescita dello 0,62%).</w:t>
      </w:r>
    </w:p>
    <w:p w14:paraId="5D8F11EF" w14:textId="77777777" w:rsidR="006F71FA" w:rsidRPr="006F71FA" w:rsidRDefault="006F71FA" w:rsidP="006F71F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F71FA">
        <w:rPr>
          <w:rFonts w:ascii="Arial" w:eastAsia="Times New Roman" w:hAnsi="Arial" w:cs="Arial"/>
          <w:color w:val="000000"/>
          <w:kern w:val="0"/>
          <w:sz w:val="21"/>
          <w:szCs w:val="21"/>
          <w:lang w:eastAsia="it-IT"/>
          <w14:ligatures w14:val="none"/>
        </w:rPr>
        <w:t>Nel commentare la notizia, </w:t>
      </w:r>
      <w:r w:rsidRPr="006F71FA">
        <w:rPr>
          <w:rFonts w:ascii="Arial" w:eastAsia="Times New Roman" w:hAnsi="Arial" w:cs="Arial"/>
          <w:b/>
          <w:bCs/>
          <w:color w:val="000000"/>
          <w:kern w:val="0"/>
          <w:sz w:val="21"/>
          <w:szCs w:val="21"/>
          <w:lang w:eastAsia="it-IT"/>
          <w14:ligatures w14:val="none"/>
        </w:rPr>
        <w:t xml:space="preserve">il Ministro ha segnalato le due le novità di quest’anno consistenti nell’avvio della sperimentazione della filiera tecnico professionale "4+2", con 1.669 iscrizioni, e dei nuovi licei del "Made in </w:t>
      </w:r>
      <w:proofErr w:type="spellStart"/>
      <w:r w:rsidRPr="006F71FA">
        <w:rPr>
          <w:rFonts w:ascii="Arial" w:eastAsia="Times New Roman" w:hAnsi="Arial" w:cs="Arial"/>
          <w:b/>
          <w:bCs/>
          <w:color w:val="000000"/>
          <w:kern w:val="0"/>
          <w:sz w:val="21"/>
          <w:szCs w:val="21"/>
          <w:lang w:eastAsia="it-IT"/>
          <w14:ligatures w14:val="none"/>
        </w:rPr>
        <w:t>Italy</w:t>
      </w:r>
      <w:proofErr w:type="spellEnd"/>
      <w:r w:rsidRPr="006F71FA">
        <w:rPr>
          <w:rFonts w:ascii="Arial" w:eastAsia="Times New Roman" w:hAnsi="Arial" w:cs="Arial"/>
          <w:b/>
          <w:bCs/>
          <w:color w:val="000000"/>
          <w:kern w:val="0"/>
          <w:sz w:val="21"/>
          <w:szCs w:val="21"/>
          <w:lang w:eastAsia="it-IT"/>
          <w14:ligatures w14:val="none"/>
        </w:rPr>
        <w:t>" con 375 iscrizioni.</w:t>
      </w:r>
    </w:p>
    <w:p w14:paraId="54AFEBBE" w14:textId="77777777" w:rsidR="006F71FA" w:rsidRPr="006F71FA" w:rsidRDefault="006F71FA" w:rsidP="006F71F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F71FA">
        <w:rPr>
          <w:rFonts w:ascii="Arial" w:eastAsia="Times New Roman" w:hAnsi="Arial" w:cs="Arial"/>
          <w:color w:val="000000"/>
          <w:kern w:val="0"/>
          <w:sz w:val="21"/>
          <w:szCs w:val="21"/>
          <w:lang w:eastAsia="it-IT"/>
          <w14:ligatures w14:val="none"/>
        </w:rPr>
        <w:t>Ma quel che onestamente si fatica a comprendere, a fronte di questi numeri, è </w:t>
      </w:r>
      <w:r w:rsidRPr="006F71FA">
        <w:rPr>
          <w:rFonts w:ascii="Arial" w:eastAsia="Times New Roman" w:hAnsi="Arial" w:cs="Arial"/>
          <w:b/>
          <w:bCs/>
          <w:color w:val="000000"/>
          <w:kern w:val="0"/>
          <w:sz w:val="21"/>
          <w:szCs w:val="21"/>
          <w:lang w:eastAsia="it-IT"/>
          <w14:ligatures w14:val="none"/>
        </w:rPr>
        <w:t>come si possa realmente parlare di “un interesse significativo da parte delle famiglie” e di un “risultato importante e non scontato”</w:t>
      </w:r>
      <w:r w:rsidRPr="006F71FA">
        <w:rPr>
          <w:rFonts w:ascii="Arial" w:eastAsia="Times New Roman" w:hAnsi="Arial" w:cs="Arial"/>
          <w:color w:val="000000"/>
          <w:kern w:val="0"/>
          <w:sz w:val="21"/>
          <w:szCs w:val="21"/>
          <w:lang w:eastAsia="it-IT"/>
          <w14:ligatures w14:val="none"/>
        </w:rPr>
        <w:t>.</w:t>
      </w:r>
    </w:p>
    <w:p w14:paraId="7BF3C3C4" w14:textId="77777777" w:rsidR="006F71FA" w:rsidRPr="006F71FA" w:rsidRDefault="006F71FA" w:rsidP="006F71F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F71FA">
        <w:rPr>
          <w:rFonts w:ascii="Arial" w:eastAsia="Times New Roman" w:hAnsi="Arial" w:cs="Arial"/>
          <w:color w:val="000000"/>
          <w:kern w:val="0"/>
          <w:sz w:val="21"/>
          <w:szCs w:val="21"/>
          <w:lang w:eastAsia="it-IT"/>
          <w14:ligatures w14:val="none"/>
        </w:rPr>
        <w:t>Non avendo dati numerici assoluti ma solo percentuali, e volendo comunque dare una rappresentazione del flop rappresentato dalla sperimentazione attivata con il DM 240 del 7 dicembre 2023, al momento possiamo solo far presente che, per quanto riguarda la filiera tecnologico professionale "4+2" </w:t>
      </w:r>
      <w:r w:rsidRPr="006F71FA">
        <w:rPr>
          <w:rFonts w:ascii="Arial" w:eastAsia="Times New Roman" w:hAnsi="Arial" w:cs="Arial"/>
          <w:b/>
          <w:bCs/>
          <w:color w:val="000000"/>
          <w:kern w:val="0"/>
          <w:sz w:val="21"/>
          <w:szCs w:val="21"/>
          <w:lang w:eastAsia="it-IT"/>
          <w14:ligatures w14:val="none"/>
        </w:rPr>
        <w:t>le 1.669 iscrizioni rappresentano</w:t>
      </w:r>
      <w:r w:rsidRPr="006F71FA">
        <w:rPr>
          <w:rFonts w:ascii="Arial" w:eastAsia="Times New Roman" w:hAnsi="Arial" w:cs="Arial"/>
          <w:color w:val="000000"/>
          <w:kern w:val="0"/>
          <w:sz w:val="21"/>
          <w:szCs w:val="21"/>
          <w:lang w:eastAsia="it-IT"/>
          <w14:ligatures w14:val="none"/>
        </w:rPr>
        <w:t> </w:t>
      </w:r>
      <w:r w:rsidRPr="006F71FA">
        <w:rPr>
          <w:rFonts w:ascii="Arial" w:eastAsia="Times New Roman" w:hAnsi="Arial" w:cs="Arial"/>
          <w:b/>
          <w:bCs/>
          <w:color w:val="000000"/>
          <w:kern w:val="0"/>
          <w:sz w:val="21"/>
          <w:szCs w:val="21"/>
          <w:lang w:eastAsia="it-IT"/>
          <w14:ligatures w14:val="none"/>
        </w:rPr>
        <w:t>una percentuale pari all’incirca allo 0,6% delle iscrizioni effettuate lo scorso anno al 1°anno degli istituti tecnici e professionali complessivamente per un totale di 271.794 pari, rispettivamente, a 185.005 e 86.789 iscrizioni</w:t>
      </w:r>
      <w:r w:rsidRPr="006F71FA">
        <w:rPr>
          <w:rFonts w:ascii="Arial" w:eastAsia="Times New Roman" w:hAnsi="Arial" w:cs="Arial"/>
          <w:color w:val="000000"/>
          <w:kern w:val="0"/>
          <w:sz w:val="21"/>
          <w:szCs w:val="21"/>
          <w:lang w:eastAsia="it-IT"/>
          <w14:ligatures w14:val="none"/>
        </w:rPr>
        <w:t> (dati dell’ufficio statistica del MIUR pubblicati nel </w:t>
      </w:r>
      <w:hyperlink r:id="rId6" w:tgtFrame="_blank" w:history="1">
        <w:r w:rsidRPr="006F71FA">
          <w:rPr>
            <w:rFonts w:ascii="Arial" w:eastAsia="Times New Roman" w:hAnsi="Arial" w:cs="Arial"/>
            <w:color w:val="005EB3"/>
            <w:kern w:val="0"/>
            <w:sz w:val="21"/>
            <w:szCs w:val="21"/>
            <w:lang w:eastAsia="it-IT"/>
            <w14:ligatures w14:val="none"/>
          </w:rPr>
          <w:t>focus sui “Principali dati della scuola – Avvio Anno Scolastico 2023/2024</w:t>
        </w:r>
      </w:hyperlink>
      <w:r w:rsidRPr="006F71FA">
        <w:rPr>
          <w:rFonts w:ascii="Arial" w:eastAsia="Times New Roman" w:hAnsi="Arial" w:cs="Arial"/>
          <w:color w:val="000000"/>
          <w:kern w:val="0"/>
          <w:sz w:val="21"/>
          <w:szCs w:val="21"/>
          <w:lang w:eastAsia="it-IT"/>
          <w14:ligatures w14:val="none"/>
        </w:rPr>
        <w:t>”).</w:t>
      </w:r>
    </w:p>
    <w:p w14:paraId="51AA3E0C" w14:textId="77777777" w:rsidR="006F71FA" w:rsidRPr="006F71FA" w:rsidRDefault="006F71FA" w:rsidP="006F71F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F71FA">
        <w:rPr>
          <w:rFonts w:ascii="Arial" w:eastAsia="Times New Roman" w:hAnsi="Arial" w:cs="Arial"/>
          <w:color w:val="000000"/>
          <w:kern w:val="0"/>
          <w:sz w:val="21"/>
          <w:szCs w:val="21"/>
          <w:lang w:eastAsia="it-IT"/>
          <w14:ligatures w14:val="none"/>
        </w:rPr>
        <w:t xml:space="preserve">Anche per il “liceo del made in </w:t>
      </w:r>
      <w:proofErr w:type="spellStart"/>
      <w:r w:rsidRPr="006F71FA">
        <w:rPr>
          <w:rFonts w:ascii="Arial" w:eastAsia="Times New Roman" w:hAnsi="Arial" w:cs="Arial"/>
          <w:color w:val="000000"/>
          <w:kern w:val="0"/>
          <w:sz w:val="21"/>
          <w:szCs w:val="21"/>
          <w:lang w:eastAsia="it-IT"/>
          <w14:ligatures w14:val="none"/>
        </w:rPr>
        <w:t>Italy</w:t>
      </w:r>
      <w:proofErr w:type="spellEnd"/>
      <w:r w:rsidRPr="006F71FA">
        <w:rPr>
          <w:rFonts w:ascii="Arial" w:eastAsia="Times New Roman" w:hAnsi="Arial" w:cs="Arial"/>
          <w:color w:val="000000"/>
          <w:kern w:val="0"/>
          <w:sz w:val="21"/>
          <w:szCs w:val="21"/>
          <w:lang w:eastAsia="it-IT"/>
          <w14:ligatures w14:val="none"/>
        </w:rPr>
        <w:t>” le iscrizioni non sono andate affatto bene. Infatti </w:t>
      </w:r>
      <w:r w:rsidRPr="006F71FA">
        <w:rPr>
          <w:rFonts w:ascii="Arial" w:eastAsia="Times New Roman" w:hAnsi="Arial" w:cs="Arial"/>
          <w:b/>
          <w:bCs/>
          <w:color w:val="000000"/>
          <w:kern w:val="0"/>
          <w:sz w:val="21"/>
          <w:szCs w:val="21"/>
          <w:lang w:eastAsia="it-IT"/>
          <w14:ligatures w14:val="none"/>
        </w:rPr>
        <w:t>le 375 iscrizioni al nuovo percorso rappresentano una percentuale francamente insignificante</w:t>
      </w:r>
      <w:r w:rsidRPr="006F71FA">
        <w:rPr>
          <w:rFonts w:ascii="Arial" w:eastAsia="Times New Roman" w:hAnsi="Arial" w:cs="Arial"/>
          <w:color w:val="000000"/>
          <w:kern w:val="0"/>
          <w:sz w:val="21"/>
          <w:szCs w:val="21"/>
          <w:lang w:eastAsia="it-IT"/>
          <w14:ligatures w14:val="none"/>
        </w:rPr>
        <w:t> anche rapportandola al solo LES dove, lo scorso anno, </w:t>
      </w:r>
      <w:r w:rsidRPr="006F71FA">
        <w:rPr>
          <w:rFonts w:ascii="Arial" w:eastAsia="Times New Roman" w:hAnsi="Arial" w:cs="Arial"/>
          <w:b/>
          <w:bCs/>
          <w:color w:val="000000"/>
          <w:kern w:val="0"/>
          <w:sz w:val="21"/>
          <w:szCs w:val="21"/>
          <w:lang w:eastAsia="it-IT"/>
          <w14:ligatures w14:val="none"/>
        </w:rPr>
        <w:t>le iscrizioni al 1°anno furono 20.948 </w:t>
      </w:r>
      <w:r w:rsidRPr="006F71FA">
        <w:rPr>
          <w:rFonts w:ascii="Arial" w:eastAsia="Times New Roman" w:hAnsi="Arial" w:cs="Arial"/>
          <w:color w:val="000000"/>
          <w:kern w:val="0"/>
          <w:sz w:val="21"/>
          <w:szCs w:val="21"/>
          <w:lang w:eastAsia="it-IT"/>
          <w14:ligatures w14:val="none"/>
        </w:rPr>
        <w:t>(focus sui “Principali dati della scuola – Avvio Anno Scolastico 2023/2024”), con un trend, tra l’altro, in forte e costante crescita rispetto agli anni precedenti.</w:t>
      </w:r>
    </w:p>
    <w:p w14:paraId="68D4EFE0" w14:textId="5F7B986A" w:rsidR="006F71FA" w:rsidRPr="006F71FA" w:rsidRDefault="006F71FA" w:rsidP="006F71F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F71FA">
        <w:rPr>
          <w:rFonts w:ascii="Arial" w:eastAsia="Times New Roman" w:hAnsi="Arial" w:cs="Arial"/>
          <w:color w:val="000000"/>
          <w:kern w:val="0"/>
          <w:sz w:val="21"/>
          <w:szCs w:val="21"/>
          <w:lang w:eastAsia="it-IT"/>
          <w14:ligatures w14:val="none"/>
        </w:rPr>
        <w:t>L’</w:t>
      </w:r>
      <w:hyperlink r:id="rId7" w:history="1">
        <w:r w:rsidRPr="006F71FA">
          <w:rPr>
            <w:rFonts w:ascii="Arial" w:eastAsia="Times New Roman" w:hAnsi="Arial" w:cs="Arial"/>
            <w:color w:val="005EB3"/>
            <w:kern w:val="0"/>
            <w:sz w:val="21"/>
            <w:szCs w:val="21"/>
            <w:lang w:eastAsia="it-IT"/>
            <w14:ligatures w14:val="none"/>
          </w:rPr>
          <w:t>evidente insuccesso di questa riforma</w:t>
        </w:r>
      </w:hyperlink>
      <w:r w:rsidRPr="006F71FA">
        <w:rPr>
          <w:rFonts w:ascii="Arial" w:eastAsia="Times New Roman" w:hAnsi="Arial" w:cs="Arial"/>
          <w:color w:val="000000"/>
          <w:kern w:val="0"/>
          <w:sz w:val="21"/>
          <w:szCs w:val="21"/>
          <w:lang w:eastAsia="it-IT"/>
          <w14:ligatures w14:val="none"/>
        </w:rPr>
        <w:t> della secondaria di secondo grado è testimoniato, questa volta, non tanto dall’intervento della “solita” organizzazione sindacale pregiudizialmente descritta dal Ministro in “opposizione politica” al governo,  quanto, piuttosto, è testimoniato proprio dallo scarso interesse che, nei fatti, le stesse famiglie, le studentesse e gli studenti hanno manifestato nei confronti di una riforma che porta avanti un progetto culturale e politico di riduzione del tempo scuola e della qualità dei processi di apprendimento oltre che di inserimento dei privati nell’istruzione pubblica</w:t>
      </w:r>
    </w:p>
    <w:p w14:paraId="361FE3E5" w14:textId="4779528D" w:rsidR="006F71FA" w:rsidRPr="006F71FA" w:rsidRDefault="006F71FA" w:rsidP="006F71FA">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6F71FA">
        <w:rPr>
          <w:rFonts w:ascii="Tahoma" w:eastAsia="Times New Roman" w:hAnsi="Tahoma" w:cs="Tahoma"/>
          <w:color w:val="DC3B33"/>
          <w:kern w:val="36"/>
          <w:sz w:val="45"/>
          <w:szCs w:val="45"/>
          <w:lang w:eastAsia="it-IT"/>
          <w14:ligatures w14:val="none"/>
        </w:rPr>
        <w:t>Personale ATA: i benefici contrattuali con le posizioni economiche e i passaggi di area</w:t>
      </w:r>
    </w:p>
    <w:p w14:paraId="0076AB8D" w14:textId="77777777" w:rsidR="006F71FA" w:rsidRPr="006F71FA" w:rsidRDefault="006F71FA" w:rsidP="006F71FA">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6F71FA">
        <w:rPr>
          <w:rFonts w:ascii="Arial" w:eastAsia="Times New Roman" w:hAnsi="Arial" w:cs="Arial"/>
          <w:color w:val="535353"/>
          <w:kern w:val="0"/>
          <w:sz w:val="27"/>
          <w:szCs w:val="27"/>
          <w:lang w:eastAsia="it-IT"/>
          <w14:ligatures w14:val="none"/>
        </w:rPr>
        <w:t xml:space="preserve">Iniziato il confronto al Ministero. Si avvieranno subito tutte le procedure per rivalutare gli importi delle posizioni esistenti, attivare le nuove, favorire il </w:t>
      </w:r>
      <w:r w:rsidRPr="006F71FA">
        <w:rPr>
          <w:rFonts w:ascii="Arial" w:eastAsia="Times New Roman" w:hAnsi="Arial" w:cs="Arial"/>
          <w:color w:val="535353"/>
          <w:kern w:val="0"/>
          <w:sz w:val="27"/>
          <w:szCs w:val="27"/>
          <w:lang w:eastAsia="it-IT"/>
          <w14:ligatures w14:val="none"/>
        </w:rPr>
        <w:lastRenderedPageBreak/>
        <w:t>passaggio dei FF al ruolo di DSGA e di una buona parte dei Collaboratori nella nuova figura di operatore.</w:t>
      </w:r>
    </w:p>
    <w:p w14:paraId="639FEE27" w14:textId="77777777" w:rsidR="006F71FA" w:rsidRPr="006F71FA" w:rsidRDefault="006F71FA" w:rsidP="006F71FA">
      <w:pPr>
        <w:shd w:val="clear" w:color="auto" w:fill="FFFFFF"/>
        <w:spacing w:after="0" w:line="240" w:lineRule="auto"/>
        <w:rPr>
          <w:rFonts w:ascii="Arial" w:eastAsia="Times New Roman" w:hAnsi="Arial" w:cs="Arial"/>
          <w:color w:val="4D4D4D"/>
          <w:kern w:val="0"/>
          <w:sz w:val="21"/>
          <w:szCs w:val="21"/>
          <w:lang w:eastAsia="it-IT"/>
          <w14:ligatures w14:val="none"/>
        </w:rPr>
      </w:pPr>
      <w:r w:rsidRPr="006F71FA">
        <w:rPr>
          <w:rFonts w:ascii="Arial" w:eastAsia="Times New Roman" w:hAnsi="Arial" w:cs="Arial"/>
          <w:b/>
          <w:bCs/>
          <w:color w:val="4D4D4D"/>
          <w:kern w:val="0"/>
          <w:sz w:val="21"/>
          <w:szCs w:val="21"/>
          <w:lang w:eastAsia="it-IT"/>
          <w14:ligatures w14:val="none"/>
        </w:rPr>
        <w:t>08/02/2024</w:t>
      </w:r>
    </w:p>
    <w:p w14:paraId="1DD8FE3A" w14:textId="77777777" w:rsidR="006F71FA" w:rsidRDefault="006F71FA" w:rsidP="006F71F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79596876" w14:textId="60AE6802" w:rsidR="006F71FA" w:rsidRPr="006F71FA" w:rsidRDefault="006F71FA" w:rsidP="006F71F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F71FA">
        <w:rPr>
          <w:rFonts w:ascii="Arial" w:eastAsia="Times New Roman" w:hAnsi="Arial" w:cs="Arial"/>
          <w:color w:val="000000"/>
          <w:kern w:val="0"/>
          <w:sz w:val="21"/>
          <w:szCs w:val="21"/>
          <w:lang w:eastAsia="it-IT"/>
          <w14:ligatures w14:val="none"/>
        </w:rPr>
        <w:t>L’</w:t>
      </w:r>
      <w:r w:rsidRPr="006F71FA">
        <w:rPr>
          <w:rFonts w:ascii="Arial" w:eastAsia="Times New Roman" w:hAnsi="Arial" w:cs="Arial"/>
          <w:b/>
          <w:bCs/>
          <w:color w:val="000000"/>
          <w:kern w:val="0"/>
          <w:sz w:val="21"/>
          <w:szCs w:val="21"/>
          <w:lang w:eastAsia="it-IT"/>
          <w14:ligatures w14:val="none"/>
        </w:rPr>
        <w:t>8 febbraio 2024</w:t>
      </w:r>
      <w:r w:rsidRPr="006F71FA">
        <w:rPr>
          <w:rFonts w:ascii="Arial" w:eastAsia="Times New Roman" w:hAnsi="Arial" w:cs="Arial"/>
          <w:color w:val="000000"/>
          <w:kern w:val="0"/>
          <w:sz w:val="21"/>
          <w:szCs w:val="21"/>
          <w:lang w:eastAsia="it-IT"/>
          <w14:ligatures w14:val="none"/>
        </w:rPr>
        <w:t>, alle ore 10.30, si è tenuto il </w:t>
      </w:r>
      <w:r w:rsidRPr="006F71FA">
        <w:rPr>
          <w:rFonts w:ascii="Arial" w:eastAsia="Times New Roman" w:hAnsi="Arial" w:cs="Arial"/>
          <w:b/>
          <w:bCs/>
          <w:color w:val="000000"/>
          <w:kern w:val="0"/>
          <w:sz w:val="21"/>
          <w:szCs w:val="21"/>
          <w:lang w:eastAsia="it-IT"/>
          <w14:ligatures w14:val="none"/>
        </w:rPr>
        <w:t>primo confronto al Ministero dell’Istruzione in merito all’attuazione delle novità contenute nel CCNL 2019-2021</w:t>
      </w:r>
      <w:r w:rsidRPr="006F71FA">
        <w:rPr>
          <w:rFonts w:ascii="Arial" w:eastAsia="Times New Roman" w:hAnsi="Arial" w:cs="Arial"/>
          <w:color w:val="000000"/>
          <w:kern w:val="0"/>
          <w:sz w:val="21"/>
          <w:szCs w:val="21"/>
          <w:lang w:eastAsia="it-IT"/>
          <w14:ligatures w14:val="none"/>
        </w:rPr>
        <w:t>, a seguito della richiesta presentata dalle Organizzazioni sindacali.</w:t>
      </w:r>
    </w:p>
    <w:p w14:paraId="76097AAA" w14:textId="77777777" w:rsidR="006F71FA" w:rsidRPr="006F71FA" w:rsidRDefault="006F71FA" w:rsidP="006F71F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F71FA">
        <w:rPr>
          <w:rFonts w:ascii="Arial" w:eastAsia="Times New Roman" w:hAnsi="Arial" w:cs="Arial"/>
          <w:color w:val="000000"/>
          <w:kern w:val="0"/>
          <w:sz w:val="21"/>
          <w:szCs w:val="21"/>
          <w:lang w:eastAsia="it-IT"/>
          <w14:ligatures w14:val="none"/>
        </w:rPr>
        <w:t>I temi trattati:</w:t>
      </w:r>
    </w:p>
    <w:p w14:paraId="64B3B914" w14:textId="77777777" w:rsidR="006F71FA" w:rsidRPr="006F71FA" w:rsidRDefault="006F71FA" w:rsidP="006F71FA">
      <w:pPr>
        <w:numPr>
          <w:ilvl w:val="0"/>
          <w:numId w:val="4"/>
        </w:numPr>
        <w:shd w:val="clear" w:color="auto" w:fill="FFFFFF"/>
        <w:spacing w:before="100" w:beforeAutospacing="1" w:after="100" w:afterAutospacing="1" w:line="240" w:lineRule="auto"/>
        <w:rPr>
          <w:rFonts w:ascii="Arial" w:eastAsia="Times New Roman" w:hAnsi="Arial" w:cs="Arial"/>
          <w:color w:val="000000"/>
          <w:kern w:val="0"/>
          <w:sz w:val="21"/>
          <w:szCs w:val="21"/>
          <w:lang w:eastAsia="it-IT"/>
          <w14:ligatures w14:val="none"/>
        </w:rPr>
      </w:pPr>
      <w:r w:rsidRPr="006F71FA">
        <w:rPr>
          <w:rFonts w:ascii="Arial" w:eastAsia="Times New Roman" w:hAnsi="Arial" w:cs="Arial"/>
          <w:b/>
          <w:bCs/>
          <w:color w:val="000000"/>
          <w:kern w:val="0"/>
          <w:sz w:val="21"/>
          <w:szCs w:val="21"/>
          <w:lang w:eastAsia="it-IT"/>
          <w14:ligatures w14:val="none"/>
        </w:rPr>
        <w:t>criteri di ripartizione delle risorse del fondo per le posizioni economiche</w:t>
      </w:r>
      <w:r w:rsidRPr="006F71FA">
        <w:rPr>
          <w:rFonts w:ascii="Arial" w:eastAsia="Times New Roman" w:hAnsi="Arial" w:cs="Arial"/>
          <w:color w:val="000000"/>
          <w:kern w:val="0"/>
          <w:sz w:val="21"/>
          <w:szCs w:val="21"/>
          <w:lang w:eastAsia="it-IT"/>
          <w14:ligatures w14:val="none"/>
        </w:rPr>
        <w:t> tra i diversi profili professionali ATA (art. 30, comma 9, a6, e art. 79 CCNL 2019/2021);</w:t>
      </w:r>
    </w:p>
    <w:p w14:paraId="5DD00EB4" w14:textId="77777777" w:rsidR="006F71FA" w:rsidRPr="006F71FA" w:rsidRDefault="006F71FA" w:rsidP="006F71FA">
      <w:pPr>
        <w:numPr>
          <w:ilvl w:val="0"/>
          <w:numId w:val="4"/>
        </w:numPr>
        <w:shd w:val="clear" w:color="auto" w:fill="FFFFFF"/>
        <w:spacing w:before="100" w:beforeAutospacing="1" w:after="100" w:afterAutospacing="1" w:line="240" w:lineRule="auto"/>
        <w:rPr>
          <w:rFonts w:ascii="Arial" w:eastAsia="Times New Roman" w:hAnsi="Arial" w:cs="Arial"/>
          <w:color w:val="000000"/>
          <w:kern w:val="0"/>
          <w:sz w:val="21"/>
          <w:szCs w:val="21"/>
          <w:lang w:eastAsia="it-IT"/>
          <w14:ligatures w14:val="none"/>
        </w:rPr>
      </w:pPr>
      <w:r w:rsidRPr="006F71FA">
        <w:rPr>
          <w:rFonts w:ascii="Arial" w:eastAsia="Times New Roman" w:hAnsi="Arial" w:cs="Arial"/>
          <w:b/>
          <w:bCs/>
          <w:color w:val="000000"/>
          <w:kern w:val="0"/>
          <w:sz w:val="21"/>
          <w:szCs w:val="21"/>
          <w:lang w:eastAsia="it-IT"/>
          <w14:ligatures w14:val="none"/>
        </w:rPr>
        <w:t>criteri per l’effettuazione delle procedure</w:t>
      </w:r>
      <w:r w:rsidRPr="006F71FA">
        <w:rPr>
          <w:rFonts w:ascii="Arial" w:eastAsia="Times New Roman" w:hAnsi="Arial" w:cs="Arial"/>
          <w:color w:val="000000"/>
          <w:kern w:val="0"/>
          <w:sz w:val="21"/>
          <w:szCs w:val="21"/>
          <w:lang w:eastAsia="it-IT"/>
          <w14:ligatures w14:val="none"/>
        </w:rPr>
        <w:t> relative ai </w:t>
      </w:r>
      <w:r w:rsidRPr="006F71FA">
        <w:rPr>
          <w:rFonts w:ascii="Arial" w:eastAsia="Times New Roman" w:hAnsi="Arial" w:cs="Arial"/>
          <w:b/>
          <w:bCs/>
          <w:color w:val="000000"/>
          <w:kern w:val="0"/>
          <w:sz w:val="21"/>
          <w:szCs w:val="21"/>
          <w:lang w:eastAsia="it-IT"/>
          <w14:ligatures w14:val="none"/>
        </w:rPr>
        <w:t>passaggi di Area del personale ATA</w:t>
      </w:r>
      <w:r w:rsidRPr="006F71FA">
        <w:rPr>
          <w:rFonts w:ascii="Arial" w:eastAsia="Times New Roman" w:hAnsi="Arial" w:cs="Arial"/>
          <w:color w:val="000000"/>
          <w:kern w:val="0"/>
          <w:sz w:val="21"/>
          <w:szCs w:val="21"/>
          <w:lang w:eastAsia="it-IT"/>
          <w14:ligatures w14:val="none"/>
        </w:rPr>
        <w:t> (art. 59 e art. 30, comma 9, a4 CCNL 2019/2021).</w:t>
      </w:r>
    </w:p>
    <w:p w14:paraId="11D0F273" w14:textId="77777777" w:rsidR="006F71FA" w:rsidRPr="006F71FA" w:rsidRDefault="006F71FA" w:rsidP="006F71F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F71FA">
        <w:rPr>
          <w:rFonts w:ascii="Arial" w:eastAsia="Times New Roman" w:hAnsi="Arial" w:cs="Arial"/>
          <w:b/>
          <w:bCs/>
          <w:color w:val="000000"/>
          <w:kern w:val="0"/>
          <w:sz w:val="21"/>
          <w:szCs w:val="21"/>
          <w:lang w:eastAsia="it-IT"/>
          <w14:ligatures w14:val="none"/>
        </w:rPr>
        <w:t>Primo punto</w:t>
      </w:r>
    </w:p>
    <w:p w14:paraId="17F1DE33" w14:textId="77777777" w:rsidR="006F71FA" w:rsidRPr="006F71FA" w:rsidRDefault="006F71FA" w:rsidP="006F71F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F71FA">
        <w:rPr>
          <w:rFonts w:ascii="Arial" w:eastAsia="Times New Roman" w:hAnsi="Arial" w:cs="Arial"/>
          <w:color w:val="000000"/>
          <w:kern w:val="0"/>
          <w:sz w:val="21"/>
          <w:szCs w:val="21"/>
          <w:lang w:eastAsia="it-IT"/>
          <w14:ligatures w14:val="none"/>
        </w:rPr>
        <w:t>Le posizioni economiche del personale ATA, per effetto del CCNL 2019/2021, sono state incrementate: da 600 a 700 euro la prima posizione per CS, da 1.200 a 1.300 euro e da 1.800 a 2.000 euro rispettivamente la 1° e la 2° posizione per AA/AT. </w:t>
      </w:r>
    </w:p>
    <w:p w14:paraId="34E61BC0" w14:textId="77777777" w:rsidR="006F71FA" w:rsidRPr="006F71FA" w:rsidRDefault="006F71FA" w:rsidP="006F71F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F71FA">
        <w:rPr>
          <w:rFonts w:ascii="Arial" w:eastAsia="Times New Roman" w:hAnsi="Arial" w:cs="Arial"/>
          <w:color w:val="000000"/>
          <w:kern w:val="0"/>
          <w:sz w:val="21"/>
          <w:szCs w:val="21"/>
          <w:lang w:eastAsia="it-IT"/>
          <w14:ligatures w14:val="none"/>
        </w:rPr>
        <w:t>Le risorse complessivamente a disposizione per le posizioni economiche ATA assommano a 137 mln di euro (art. 79 CCNL 2019/2021).</w:t>
      </w:r>
    </w:p>
    <w:p w14:paraId="7AC36AB1" w14:textId="77777777" w:rsidR="006F71FA" w:rsidRPr="006F71FA" w:rsidRDefault="006F71FA" w:rsidP="006F71F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F71FA">
        <w:rPr>
          <w:rFonts w:ascii="Arial" w:eastAsia="Times New Roman" w:hAnsi="Arial" w:cs="Arial"/>
          <w:color w:val="000000"/>
          <w:kern w:val="0"/>
          <w:sz w:val="21"/>
          <w:szCs w:val="21"/>
          <w:lang w:eastAsia="it-IT"/>
          <w14:ligatures w14:val="none"/>
        </w:rPr>
        <w:t>Risultano attualmente impegnati circa 66 mln di euro per retribuire le posizioni attualmente in godimento di 56.000 lavoratori. Ciò significa che restano a disposizione poco più di 72 mln di euro da poter utilizzare per attivare nuove posizioni economiche che il Ministero ha quantificato in più di 70.000 nuovi beneficiari. Alla procedura potrà partecipare il personale con 5 anni di servizio e le posizioni economiche verranno attribuite a seguito di valutazione conseguita al termine di un apposito corso di formazione.</w:t>
      </w:r>
    </w:p>
    <w:p w14:paraId="35E0EF41" w14:textId="77777777" w:rsidR="006F71FA" w:rsidRPr="006F71FA" w:rsidRDefault="006F71FA" w:rsidP="006F71F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F71FA">
        <w:rPr>
          <w:rFonts w:ascii="Arial" w:eastAsia="Times New Roman" w:hAnsi="Arial" w:cs="Arial"/>
          <w:b/>
          <w:bCs/>
          <w:color w:val="000000"/>
          <w:kern w:val="0"/>
          <w:sz w:val="21"/>
          <w:szCs w:val="21"/>
          <w:lang w:eastAsia="it-IT"/>
          <w14:ligatures w14:val="none"/>
        </w:rPr>
        <w:t>Secondo punto</w:t>
      </w:r>
    </w:p>
    <w:p w14:paraId="11475A45" w14:textId="77777777" w:rsidR="006F71FA" w:rsidRPr="006F71FA" w:rsidRDefault="006F71FA" w:rsidP="006F71F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F71FA">
        <w:rPr>
          <w:rFonts w:ascii="Arial" w:eastAsia="Times New Roman" w:hAnsi="Arial" w:cs="Arial"/>
          <w:color w:val="000000"/>
          <w:kern w:val="0"/>
          <w:sz w:val="21"/>
          <w:szCs w:val="21"/>
          <w:lang w:eastAsia="it-IT"/>
          <w14:ligatures w14:val="none"/>
        </w:rPr>
        <w:t>Il nuovo CCNL, in prima applicazione, prevede la possibilità di passaggio degli Assistenti Amministrativi facenti funzione DSGA nella nuova area dei Funzionari ed EQ. Secondo il Ministero gli attuali facenti funzioni che hanno svolto l’incarico per almeno tre anni nell’ultimo decennio sono circa 2.800. Tale passaggio, previa procedura valutativa (ai sensi dell’art. 59 del CCNL 2019/2021), dovrà essere avviata quanto prima sui posti attualmente disponibili. Ciò consentirà conseguentemente di sbloccare anche la procedura concorsuale ordinaria su questa tipologia di posti.</w:t>
      </w:r>
    </w:p>
    <w:p w14:paraId="795ED1BE" w14:textId="77777777" w:rsidR="006F71FA" w:rsidRPr="006F71FA" w:rsidRDefault="006F71FA" w:rsidP="006F71F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F71FA">
        <w:rPr>
          <w:rFonts w:ascii="Arial" w:eastAsia="Times New Roman" w:hAnsi="Arial" w:cs="Arial"/>
          <w:color w:val="000000"/>
          <w:kern w:val="0"/>
          <w:sz w:val="21"/>
          <w:szCs w:val="21"/>
          <w:lang w:eastAsia="it-IT"/>
          <w14:ligatures w14:val="none"/>
        </w:rPr>
        <w:t>Inoltre sarà possibile attivare anche i passaggi dalla qualifica di Collaboratore scolastico a quella di Operatore, figura istituita dal nuovo CCNL. Con le risorse rese disponibili dal nuovo CCNL (pari a 36,9 mln di euro) questo passaggio sarà accessibile fino ad un massimo della metà della platea dei Collaboratori scolastici (circa 59.000 su 118.000) con conseguente qualificazione professionale e retributiva dei lavoratori coinvolti.</w:t>
      </w:r>
    </w:p>
    <w:p w14:paraId="45A16D92" w14:textId="77777777" w:rsidR="006F71FA" w:rsidRPr="006F71FA" w:rsidRDefault="006F71FA" w:rsidP="006F71FA">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6F71FA">
        <w:rPr>
          <w:rFonts w:ascii="Arial" w:eastAsia="Times New Roman" w:hAnsi="Arial" w:cs="Arial"/>
          <w:b/>
          <w:bCs/>
          <w:color w:val="535353"/>
          <w:kern w:val="0"/>
          <w:sz w:val="27"/>
          <w:szCs w:val="27"/>
          <w:lang w:eastAsia="it-IT"/>
          <w14:ligatures w14:val="none"/>
        </w:rPr>
        <w:t>La posizione della FLC CGIL</w:t>
      </w:r>
    </w:p>
    <w:p w14:paraId="5CF54424" w14:textId="77777777" w:rsidR="006F71FA" w:rsidRPr="006F71FA" w:rsidRDefault="006F71FA" w:rsidP="006F71F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F71FA">
        <w:rPr>
          <w:rFonts w:ascii="Arial" w:eastAsia="Times New Roman" w:hAnsi="Arial" w:cs="Arial"/>
          <w:i/>
          <w:iCs/>
          <w:color w:val="000000"/>
          <w:kern w:val="0"/>
          <w:sz w:val="21"/>
          <w:szCs w:val="21"/>
          <w:lang w:eastAsia="it-IT"/>
          <w14:ligatures w14:val="none"/>
        </w:rPr>
        <w:t>Posizioni economiche</w:t>
      </w:r>
    </w:p>
    <w:p w14:paraId="48440B92" w14:textId="77777777" w:rsidR="006F71FA" w:rsidRPr="006F71FA" w:rsidRDefault="006F71FA" w:rsidP="006F71F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F71FA">
        <w:rPr>
          <w:rFonts w:ascii="Arial" w:eastAsia="Times New Roman" w:hAnsi="Arial" w:cs="Arial"/>
          <w:color w:val="000000"/>
          <w:kern w:val="0"/>
          <w:sz w:val="21"/>
          <w:szCs w:val="21"/>
          <w:lang w:eastAsia="it-IT"/>
          <w14:ligatures w14:val="none"/>
        </w:rPr>
        <w:t>Come prima cosa abbiamo chiesto che si desse seguito alla rivalutazione delle </w:t>
      </w:r>
      <w:r w:rsidRPr="006F71FA">
        <w:rPr>
          <w:rFonts w:ascii="Arial" w:eastAsia="Times New Roman" w:hAnsi="Arial" w:cs="Arial"/>
          <w:b/>
          <w:bCs/>
          <w:color w:val="000000"/>
          <w:kern w:val="0"/>
          <w:sz w:val="21"/>
          <w:szCs w:val="21"/>
          <w:lang w:eastAsia="it-IT"/>
          <w14:ligatures w14:val="none"/>
        </w:rPr>
        <w:t>posizioni economiche</w:t>
      </w:r>
      <w:r w:rsidRPr="006F71FA">
        <w:rPr>
          <w:rFonts w:ascii="Arial" w:eastAsia="Times New Roman" w:hAnsi="Arial" w:cs="Arial"/>
          <w:color w:val="000000"/>
          <w:kern w:val="0"/>
          <w:sz w:val="21"/>
          <w:szCs w:val="21"/>
          <w:lang w:eastAsia="it-IT"/>
          <w14:ligatures w14:val="none"/>
        </w:rPr>
        <w:t> in essere del personale ATA così come previsto dal CCNL.</w:t>
      </w:r>
    </w:p>
    <w:p w14:paraId="757CA87E" w14:textId="77777777" w:rsidR="006F71FA" w:rsidRPr="006F71FA" w:rsidRDefault="006F71FA" w:rsidP="006F71F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F71FA">
        <w:rPr>
          <w:rFonts w:ascii="Arial" w:eastAsia="Times New Roman" w:hAnsi="Arial" w:cs="Arial"/>
          <w:color w:val="000000"/>
          <w:kern w:val="0"/>
          <w:sz w:val="21"/>
          <w:szCs w:val="21"/>
          <w:lang w:eastAsia="it-IT"/>
          <w14:ligatures w14:val="none"/>
        </w:rPr>
        <w:t>Per quanto riguarda la ripartizione delle risorse per l’attivazione delle nuove posizioni economiche si ritiene opportuno applicare criteri oggettivi in rapporto alla dotazione organica.</w:t>
      </w:r>
    </w:p>
    <w:p w14:paraId="4A58DC6A" w14:textId="77777777" w:rsidR="006F71FA" w:rsidRPr="006F71FA" w:rsidRDefault="006F71FA" w:rsidP="006F71F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F71FA">
        <w:rPr>
          <w:rFonts w:ascii="Arial" w:eastAsia="Times New Roman" w:hAnsi="Arial" w:cs="Arial"/>
          <w:color w:val="000000"/>
          <w:kern w:val="0"/>
          <w:sz w:val="21"/>
          <w:szCs w:val="21"/>
          <w:lang w:eastAsia="it-IT"/>
          <w14:ligatures w14:val="none"/>
        </w:rPr>
        <w:t>Inoltre, la procedura per l’attribuzione delle nuove posizioni economiche deve essere la più semplificata possibile anche al fine di evitare i problemi che nel passato ne hanno impedito l’applicazione.</w:t>
      </w:r>
    </w:p>
    <w:p w14:paraId="4E0CA50D" w14:textId="77777777" w:rsidR="006F71FA" w:rsidRPr="006F71FA" w:rsidRDefault="006F71FA" w:rsidP="006F71F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F71FA">
        <w:rPr>
          <w:rFonts w:ascii="Arial" w:eastAsia="Times New Roman" w:hAnsi="Arial" w:cs="Arial"/>
          <w:color w:val="000000"/>
          <w:kern w:val="0"/>
          <w:sz w:val="21"/>
          <w:szCs w:val="21"/>
          <w:lang w:eastAsia="it-IT"/>
          <w14:ligatures w14:val="none"/>
        </w:rPr>
        <w:lastRenderedPageBreak/>
        <w:t>Abbiamo quindi chiesto che si operi immediatamente perché venga attribuito da subito il beneficio economico a coloro che in passato, pur avendo frequentato la formazione e stando in graduatoria, non hanno ricevuto la posizione acquisita e rimasta sulla carta.</w:t>
      </w:r>
    </w:p>
    <w:p w14:paraId="5624B5B1" w14:textId="77777777" w:rsidR="006F71FA" w:rsidRPr="006F71FA" w:rsidRDefault="006F71FA" w:rsidP="006F71F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F71FA">
        <w:rPr>
          <w:rFonts w:ascii="Arial" w:eastAsia="Times New Roman" w:hAnsi="Arial" w:cs="Arial"/>
          <w:i/>
          <w:iCs/>
          <w:color w:val="000000"/>
          <w:kern w:val="0"/>
          <w:sz w:val="21"/>
          <w:szCs w:val="21"/>
          <w:lang w:eastAsia="it-IT"/>
          <w14:ligatures w14:val="none"/>
        </w:rPr>
        <w:t>Passaggi di qualifica</w:t>
      </w:r>
    </w:p>
    <w:p w14:paraId="595B3C90" w14:textId="77777777" w:rsidR="006F71FA" w:rsidRPr="006F71FA" w:rsidRDefault="006F71FA" w:rsidP="006F71F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F71FA">
        <w:rPr>
          <w:rFonts w:ascii="Arial" w:eastAsia="Times New Roman" w:hAnsi="Arial" w:cs="Arial"/>
          <w:color w:val="000000"/>
          <w:kern w:val="0"/>
          <w:sz w:val="21"/>
          <w:szCs w:val="21"/>
          <w:lang w:eastAsia="it-IT"/>
          <w14:ligatures w14:val="none"/>
        </w:rPr>
        <w:t>Per gli </w:t>
      </w:r>
      <w:r w:rsidRPr="006F71FA">
        <w:rPr>
          <w:rFonts w:ascii="Arial" w:eastAsia="Times New Roman" w:hAnsi="Arial" w:cs="Arial"/>
          <w:b/>
          <w:bCs/>
          <w:color w:val="000000"/>
          <w:kern w:val="0"/>
          <w:sz w:val="21"/>
          <w:szCs w:val="21"/>
          <w:lang w:eastAsia="it-IT"/>
          <w14:ligatures w14:val="none"/>
        </w:rPr>
        <w:t>Assistenti amministrativi facenti funzione</w:t>
      </w:r>
      <w:r w:rsidRPr="006F71FA">
        <w:rPr>
          <w:rFonts w:ascii="Arial" w:eastAsia="Times New Roman" w:hAnsi="Arial" w:cs="Arial"/>
          <w:color w:val="000000"/>
          <w:kern w:val="0"/>
          <w:sz w:val="21"/>
          <w:szCs w:val="21"/>
          <w:lang w:eastAsia="it-IT"/>
          <w14:ligatures w14:val="none"/>
        </w:rPr>
        <w:t> vanno da subito avviati i passaggi nella nuova area dei Funzionari prevedendo procedure semplificate e celeri che consentano a questo personale di ricoprire i tanti posti vacanti fin dal 1° settembre del nuovo anno scolastico.</w:t>
      </w:r>
    </w:p>
    <w:p w14:paraId="1C2F446B" w14:textId="77777777" w:rsidR="006F71FA" w:rsidRPr="006F71FA" w:rsidRDefault="006F71FA" w:rsidP="006F71F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F71FA">
        <w:rPr>
          <w:rFonts w:ascii="Arial" w:eastAsia="Times New Roman" w:hAnsi="Arial" w:cs="Arial"/>
          <w:color w:val="000000"/>
          <w:kern w:val="0"/>
          <w:sz w:val="21"/>
          <w:szCs w:val="21"/>
          <w:lang w:eastAsia="it-IT"/>
          <w14:ligatures w14:val="none"/>
        </w:rPr>
        <w:t>Molto importante anche la possibilità di passaggio </w:t>
      </w:r>
      <w:r w:rsidRPr="006F71FA">
        <w:rPr>
          <w:rFonts w:ascii="Arial" w:eastAsia="Times New Roman" w:hAnsi="Arial" w:cs="Arial"/>
          <w:b/>
          <w:bCs/>
          <w:color w:val="000000"/>
          <w:kern w:val="0"/>
          <w:sz w:val="21"/>
          <w:szCs w:val="21"/>
          <w:lang w:eastAsia="it-IT"/>
          <w14:ligatures w14:val="none"/>
        </w:rPr>
        <w:t>da Collaboratore scolastico ad Operatore. </w:t>
      </w:r>
      <w:r w:rsidRPr="006F71FA">
        <w:rPr>
          <w:rFonts w:ascii="Arial" w:eastAsia="Times New Roman" w:hAnsi="Arial" w:cs="Arial"/>
          <w:color w:val="000000"/>
          <w:kern w:val="0"/>
          <w:sz w:val="21"/>
          <w:szCs w:val="21"/>
          <w:lang w:eastAsia="it-IT"/>
          <w14:ligatures w14:val="none"/>
        </w:rPr>
        <w:t>Anche in questo caso la FLC CGIL ha sollecitato che quanto prima vengano definite le procedure.</w:t>
      </w:r>
    </w:p>
    <w:p w14:paraId="5C608A1F" w14:textId="77777777" w:rsidR="006F71FA" w:rsidRPr="006F71FA" w:rsidRDefault="006F71FA" w:rsidP="006F71F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F71FA">
        <w:rPr>
          <w:rFonts w:ascii="Arial" w:eastAsia="Times New Roman" w:hAnsi="Arial" w:cs="Arial"/>
          <w:color w:val="000000"/>
          <w:kern w:val="0"/>
          <w:sz w:val="21"/>
          <w:szCs w:val="21"/>
          <w:lang w:eastAsia="it-IT"/>
          <w14:ligatures w14:val="none"/>
        </w:rPr>
        <w:t xml:space="preserve">Infine è necessario procedere speditamente all’apertura della contrattazione integrativa nazionale per definire l’incremento dell’indennità di direzione parte variabile dei </w:t>
      </w:r>
      <w:proofErr w:type="spellStart"/>
      <w:r w:rsidRPr="006F71FA">
        <w:rPr>
          <w:rFonts w:ascii="Arial" w:eastAsia="Times New Roman" w:hAnsi="Arial" w:cs="Arial"/>
          <w:color w:val="000000"/>
          <w:kern w:val="0"/>
          <w:sz w:val="21"/>
          <w:szCs w:val="21"/>
          <w:lang w:eastAsia="it-IT"/>
          <w14:ligatures w14:val="none"/>
        </w:rPr>
        <w:t>Dsga</w:t>
      </w:r>
      <w:proofErr w:type="spellEnd"/>
      <w:r w:rsidRPr="006F71FA">
        <w:rPr>
          <w:rFonts w:ascii="Arial" w:eastAsia="Times New Roman" w:hAnsi="Arial" w:cs="Arial"/>
          <w:color w:val="000000"/>
          <w:kern w:val="0"/>
          <w:sz w:val="21"/>
          <w:szCs w:val="21"/>
          <w:lang w:eastAsia="it-IT"/>
          <w14:ligatures w14:val="none"/>
        </w:rPr>
        <w:t>, l’indennità di disagio per gli assistenti tecnici del primo ciclo impegnati su più sedi, l’importo degli incarichi specifici dei collaboratori scolastici.</w:t>
      </w:r>
    </w:p>
    <w:p w14:paraId="1A9D19D3" w14:textId="2E3C7703" w:rsidR="006F71FA" w:rsidRPr="006F71FA" w:rsidRDefault="006F71FA" w:rsidP="006F71F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F71FA">
        <w:rPr>
          <w:rFonts w:ascii="Arial" w:eastAsia="Times New Roman" w:hAnsi="Arial" w:cs="Arial"/>
          <w:color w:val="000000"/>
          <w:kern w:val="0"/>
          <w:sz w:val="21"/>
          <w:szCs w:val="21"/>
          <w:lang w:eastAsia="it-IT"/>
          <w14:ligatures w14:val="none"/>
        </w:rPr>
        <w:t>Il </w:t>
      </w:r>
      <w:r w:rsidRPr="006F71FA">
        <w:rPr>
          <w:rFonts w:ascii="Arial" w:eastAsia="Times New Roman" w:hAnsi="Arial" w:cs="Arial"/>
          <w:b/>
          <w:bCs/>
          <w:color w:val="000000"/>
          <w:kern w:val="0"/>
          <w:sz w:val="21"/>
          <w:szCs w:val="21"/>
          <w:lang w:eastAsia="it-IT"/>
          <w14:ligatures w14:val="none"/>
        </w:rPr>
        <w:t>Capo di Gabinetto, Dott. Recinto,</w:t>
      </w:r>
      <w:r w:rsidRPr="006F71FA">
        <w:rPr>
          <w:rFonts w:ascii="Arial" w:eastAsia="Times New Roman" w:hAnsi="Arial" w:cs="Arial"/>
          <w:color w:val="000000"/>
          <w:kern w:val="0"/>
          <w:sz w:val="21"/>
          <w:szCs w:val="21"/>
          <w:lang w:eastAsia="it-IT"/>
          <w14:ligatures w14:val="none"/>
        </w:rPr>
        <w:t> ha concluso l’incontro concordando con i Sindacati che, in base agli elementi emersi durante l’incontro, ci sono i presupposti utili per dare seguito rapidamente a tutte le nuove disposizioni contrattuali oggetto del confronto per rispondere alle aspettative del personale ma anche alle esigenze di funzionalità delle scuole.</w:t>
      </w:r>
    </w:p>
    <w:p w14:paraId="1A0A217E" w14:textId="77777777" w:rsidR="006F71FA" w:rsidRPr="006F71FA" w:rsidRDefault="006F71FA" w:rsidP="006F71FA">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6F71FA">
        <w:rPr>
          <w:rFonts w:ascii="Tahoma" w:eastAsia="Times New Roman" w:hAnsi="Tahoma" w:cs="Tahoma"/>
          <w:color w:val="DC3B33"/>
          <w:kern w:val="36"/>
          <w:sz w:val="45"/>
          <w:szCs w:val="45"/>
          <w:lang w:eastAsia="it-IT"/>
          <w14:ligatures w14:val="none"/>
        </w:rPr>
        <w:t>Classi di concorso: necessari chiarimenti urgenti al decreto ministeriale che ha revisionato i requisiti</w:t>
      </w:r>
    </w:p>
    <w:p w14:paraId="11B3A1C3" w14:textId="77777777" w:rsidR="006F71FA" w:rsidRPr="006F71FA" w:rsidRDefault="006F71FA" w:rsidP="006F71FA">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6F71FA">
        <w:rPr>
          <w:rFonts w:ascii="Arial" w:eastAsia="Times New Roman" w:hAnsi="Arial" w:cs="Arial"/>
          <w:color w:val="535353"/>
          <w:kern w:val="0"/>
          <w:sz w:val="27"/>
          <w:szCs w:val="27"/>
          <w:lang w:eastAsia="it-IT"/>
          <w14:ligatures w14:val="none"/>
        </w:rPr>
        <w:t>La FLC CGIL ha chiesto al Ministero un confronto sulle conseguenze del provvedimento sulla prossima fase di aggiornamento di GAE e GPS e sulle operazioni di mobilità relative all’a.s.2024/25.</w:t>
      </w:r>
    </w:p>
    <w:p w14:paraId="33517827" w14:textId="77777777" w:rsidR="006F71FA" w:rsidRPr="006F71FA" w:rsidRDefault="006F71FA" w:rsidP="006F71FA">
      <w:pPr>
        <w:shd w:val="clear" w:color="auto" w:fill="FFFFFF"/>
        <w:spacing w:after="0" w:line="240" w:lineRule="auto"/>
        <w:rPr>
          <w:rFonts w:ascii="Arial" w:eastAsia="Times New Roman" w:hAnsi="Arial" w:cs="Arial"/>
          <w:color w:val="4D4D4D"/>
          <w:kern w:val="0"/>
          <w:sz w:val="21"/>
          <w:szCs w:val="21"/>
          <w:lang w:eastAsia="it-IT"/>
          <w14:ligatures w14:val="none"/>
        </w:rPr>
      </w:pPr>
      <w:r w:rsidRPr="006F71FA">
        <w:rPr>
          <w:rFonts w:ascii="Arial" w:eastAsia="Times New Roman" w:hAnsi="Arial" w:cs="Arial"/>
          <w:b/>
          <w:bCs/>
          <w:color w:val="4D4D4D"/>
          <w:kern w:val="0"/>
          <w:sz w:val="21"/>
          <w:szCs w:val="21"/>
          <w:lang w:eastAsia="it-IT"/>
          <w14:ligatures w14:val="none"/>
        </w:rPr>
        <w:t>13/02/2024</w:t>
      </w:r>
    </w:p>
    <w:p w14:paraId="492A7C21" w14:textId="77777777" w:rsidR="006F71FA" w:rsidRDefault="006F71FA" w:rsidP="006F71F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5EBD8ED3" w14:textId="3DA6F5A4" w:rsidR="006F71FA" w:rsidRPr="006F71FA" w:rsidRDefault="006F71FA" w:rsidP="006F71F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F71FA">
        <w:rPr>
          <w:rFonts w:ascii="Arial" w:eastAsia="Times New Roman" w:hAnsi="Arial" w:cs="Arial"/>
          <w:color w:val="000000"/>
          <w:kern w:val="0"/>
          <w:sz w:val="21"/>
          <w:szCs w:val="21"/>
          <w:lang w:eastAsia="it-IT"/>
          <w14:ligatures w14:val="none"/>
        </w:rPr>
        <w:t>In data 13 febbraio 2024 </w:t>
      </w:r>
      <w:r w:rsidRPr="006F71FA">
        <w:rPr>
          <w:rFonts w:ascii="Arial" w:eastAsia="Times New Roman" w:hAnsi="Arial" w:cs="Arial"/>
          <w:b/>
          <w:bCs/>
          <w:color w:val="000000"/>
          <w:kern w:val="0"/>
          <w:sz w:val="21"/>
          <w:szCs w:val="21"/>
          <w:lang w:eastAsia="it-IT"/>
          <w14:ligatures w14:val="none"/>
        </w:rPr>
        <w:t>la FLC CGIL ha prodotto una </w:t>
      </w:r>
      <w:hyperlink r:id="rId8" w:anchor="1" w:history="1">
        <w:r w:rsidRPr="006F71FA">
          <w:rPr>
            <w:rFonts w:ascii="Arial" w:eastAsia="Times New Roman" w:hAnsi="Arial" w:cs="Arial"/>
            <w:b/>
            <w:bCs/>
            <w:color w:val="005EB3"/>
            <w:kern w:val="0"/>
            <w:sz w:val="21"/>
            <w:szCs w:val="21"/>
            <w:lang w:eastAsia="it-IT"/>
            <w14:ligatures w14:val="none"/>
          </w:rPr>
          <w:t>richiesta di incontro</w:t>
        </w:r>
      </w:hyperlink>
      <w:r w:rsidRPr="006F71FA">
        <w:rPr>
          <w:rFonts w:ascii="Arial" w:eastAsia="Times New Roman" w:hAnsi="Arial" w:cs="Arial"/>
          <w:color w:val="000000"/>
          <w:kern w:val="0"/>
          <w:sz w:val="21"/>
          <w:szCs w:val="21"/>
          <w:lang w:eastAsia="it-IT"/>
          <w14:ligatures w14:val="none"/>
        </w:rPr>
        <w:t> in merito alle ricadute prodotte dall’entrata in vigore del </w:t>
      </w:r>
      <w:hyperlink r:id="rId9" w:tgtFrame="_blank" w:history="1">
        <w:r w:rsidRPr="006F71FA">
          <w:rPr>
            <w:rFonts w:ascii="Arial" w:eastAsia="Times New Roman" w:hAnsi="Arial" w:cs="Arial"/>
            <w:color w:val="005EB3"/>
            <w:kern w:val="0"/>
            <w:sz w:val="21"/>
            <w:szCs w:val="21"/>
            <w:lang w:eastAsia="it-IT"/>
            <w14:ligatures w14:val="none"/>
          </w:rPr>
          <w:t>decreto ministeriale 255/2023</w:t>
        </w:r>
      </w:hyperlink>
      <w:r w:rsidRPr="006F71FA">
        <w:rPr>
          <w:rFonts w:ascii="Arial" w:eastAsia="Times New Roman" w:hAnsi="Arial" w:cs="Arial"/>
          <w:color w:val="000000"/>
          <w:kern w:val="0"/>
          <w:sz w:val="21"/>
          <w:szCs w:val="21"/>
          <w:lang w:eastAsia="it-IT"/>
          <w14:ligatures w14:val="none"/>
        </w:rPr>
        <w:t>, pubblicato in </w:t>
      </w:r>
      <w:hyperlink r:id="rId10" w:tgtFrame="_blank" w:history="1">
        <w:r w:rsidRPr="006F71FA">
          <w:rPr>
            <w:rFonts w:ascii="Arial" w:eastAsia="Times New Roman" w:hAnsi="Arial" w:cs="Arial"/>
            <w:color w:val="005EB3"/>
            <w:kern w:val="0"/>
            <w:sz w:val="21"/>
            <w:szCs w:val="21"/>
            <w:lang w:eastAsia="it-IT"/>
            <w14:ligatures w14:val="none"/>
          </w:rPr>
          <w:t>Gazzetta Ufficiale</w:t>
        </w:r>
      </w:hyperlink>
      <w:r w:rsidRPr="006F71FA">
        <w:rPr>
          <w:rFonts w:ascii="Arial" w:eastAsia="Times New Roman" w:hAnsi="Arial" w:cs="Arial"/>
          <w:color w:val="000000"/>
          <w:kern w:val="0"/>
          <w:sz w:val="21"/>
          <w:szCs w:val="21"/>
          <w:lang w:eastAsia="it-IT"/>
          <w14:ligatures w14:val="none"/>
        </w:rPr>
        <w:t> il 10 febbraio 2024, che ha </w:t>
      </w:r>
      <w:r w:rsidRPr="006F71FA">
        <w:rPr>
          <w:rFonts w:ascii="Arial" w:eastAsia="Times New Roman" w:hAnsi="Arial" w:cs="Arial"/>
          <w:b/>
          <w:bCs/>
          <w:color w:val="000000"/>
          <w:kern w:val="0"/>
          <w:sz w:val="21"/>
          <w:szCs w:val="21"/>
          <w:lang w:eastAsia="it-IT"/>
          <w14:ligatures w14:val="none"/>
        </w:rPr>
        <w:t>revisionato i requisiti di accesso ad alcune classi di concorso</w:t>
      </w:r>
      <w:r w:rsidRPr="006F71FA">
        <w:rPr>
          <w:rFonts w:ascii="Arial" w:eastAsia="Times New Roman" w:hAnsi="Arial" w:cs="Arial"/>
          <w:color w:val="000000"/>
          <w:kern w:val="0"/>
          <w:sz w:val="21"/>
          <w:szCs w:val="21"/>
          <w:lang w:eastAsia="it-IT"/>
          <w14:ligatures w14:val="none"/>
        </w:rPr>
        <w:t> e realizzato </w:t>
      </w:r>
      <w:r w:rsidRPr="006F71FA">
        <w:rPr>
          <w:rFonts w:ascii="Arial" w:eastAsia="Times New Roman" w:hAnsi="Arial" w:cs="Arial"/>
          <w:b/>
          <w:bCs/>
          <w:color w:val="000000"/>
          <w:kern w:val="0"/>
          <w:sz w:val="21"/>
          <w:szCs w:val="21"/>
          <w:lang w:eastAsia="it-IT"/>
          <w14:ligatures w14:val="none"/>
        </w:rPr>
        <w:t>accorpamenti</w:t>
      </w:r>
      <w:r w:rsidRPr="006F71FA">
        <w:rPr>
          <w:rFonts w:ascii="Arial" w:eastAsia="Times New Roman" w:hAnsi="Arial" w:cs="Arial"/>
          <w:color w:val="000000"/>
          <w:kern w:val="0"/>
          <w:sz w:val="21"/>
          <w:szCs w:val="21"/>
          <w:lang w:eastAsia="it-IT"/>
          <w14:ligatures w14:val="none"/>
        </w:rPr>
        <w:t> </w:t>
      </w:r>
      <w:r w:rsidRPr="006F71FA">
        <w:rPr>
          <w:rFonts w:ascii="Arial" w:eastAsia="Times New Roman" w:hAnsi="Arial" w:cs="Arial"/>
          <w:b/>
          <w:bCs/>
          <w:color w:val="000000"/>
          <w:kern w:val="0"/>
          <w:sz w:val="21"/>
          <w:szCs w:val="21"/>
          <w:lang w:eastAsia="it-IT"/>
          <w14:ligatures w14:val="none"/>
        </w:rPr>
        <w:t>tra insegnamenti di scuola secondaria di primo e secondo grado</w:t>
      </w:r>
      <w:r w:rsidRPr="006F71FA">
        <w:rPr>
          <w:rFonts w:ascii="Arial" w:eastAsia="Times New Roman" w:hAnsi="Arial" w:cs="Arial"/>
          <w:color w:val="000000"/>
          <w:kern w:val="0"/>
          <w:sz w:val="21"/>
          <w:szCs w:val="21"/>
          <w:lang w:eastAsia="it-IT"/>
          <w14:ligatures w14:val="none"/>
        </w:rPr>
        <w:t>, in particolare per le </w:t>
      </w:r>
      <w:r w:rsidRPr="006F71FA">
        <w:rPr>
          <w:rFonts w:ascii="Arial" w:eastAsia="Times New Roman" w:hAnsi="Arial" w:cs="Arial"/>
          <w:b/>
          <w:bCs/>
          <w:color w:val="000000"/>
          <w:kern w:val="0"/>
          <w:sz w:val="21"/>
          <w:szCs w:val="21"/>
          <w:lang w:eastAsia="it-IT"/>
          <w14:ligatures w14:val="none"/>
        </w:rPr>
        <w:t>classi di concorso A-01, A-12, A-22, A-30 e A-48, A-70 e A-71</w:t>
      </w:r>
      <w:r w:rsidRPr="006F71FA">
        <w:rPr>
          <w:rFonts w:ascii="Arial" w:eastAsia="Times New Roman" w:hAnsi="Arial" w:cs="Arial"/>
          <w:color w:val="000000"/>
          <w:kern w:val="0"/>
          <w:sz w:val="21"/>
          <w:szCs w:val="21"/>
          <w:lang w:eastAsia="it-IT"/>
          <w14:ligatures w14:val="none"/>
        </w:rPr>
        <w:t>, caratterizzate da contenuti disciplinari e requisiti di accesso affini.</w:t>
      </w:r>
    </w:p>
    <w:p w14:paraId="291D1456" w14:textId="77777777" w:rsidR="006F71FA" w:rsidRPr="006F71FA" w:rsidRDefault="006F71FA" w:rsidP="006F71F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F71FA">
        <w:rPr>
          <w:rFonts w:ascii="Arial" w:eastAsia="Times New Roman" w:hAnsi="Arial" w:cs="Arial"/>
          <w:color w:val="000000"/>
          <w:kern w:val="0"/>
          <w:sz w:val="21"/>
          <w:szCs w:val="21"/>
          <w:lang w:eastAsia="it-IT"/>
          <w14:ligatures w14:val="none"/>
        </w:rPr>
        <w:t>La nota, indirizzata al Capo Dipartimento per il sistema educativo di istruzione e formazione del Ministero dell'Istruzione, Dott.ssa Carmela Palumbo e al Direttore generale per il personale scolastico, Dott. Filippo Serra, </w:t>
      </w:r>
      <w:r w:rsidRPr="006F71FA">
        <w:rPr>
          <w:rFonts w:ascii="Arial" w:eastAsia="Times New Roman" w:hAnsi="Arial" w:cs="Arial"/>
          <w:b/>
          <w:bCs/>
          <w:color w:val="000000"/>
          <w:kern w:val="0"/>
          <w:sz w:val="21"/>
          <w:szCs w:val="21"/>
          <w:lang w:eastAsia="it-IT"/>
          <w14:ligatures w14:val="none"/>
        </w:rPr>
        <w:t>ha rappresentato l’urgenza</w:t>
      </w:r>
      <w:r w:rsidRPr="006F71FA">
        <w:rPr>
          <w:rFonts w:ascii="Arial" w:eastAsia="Times New Roman" w:hAnsi="Arial" w:cs="Arial"/>
          <w:color w:val="000000"/>
          <w:kern w:val="0"/>
          <w:sz w:val="21"/>
          <w:szCs w:val="21"/>
          <w:lang w:eastAsia="it-IT"/>
          <w14:ligatures w14:val="none"/>
        </w:rPr>
        <w:t> di un incontro di chiarimento, oggetto già di una ulteriore, precedente nota dell’8 febbraio, soprattutto </w:t>
      </w:r>
      <w:r w:rsidRPr="006F71FA">
        <w:rPr>
          <w:rFonts w:ascii="Arial" w:eastAsia="Times New Roman" w:hAnsi="Arial" w:cs="Arial"/>
          <w:b/>
          <w:bCs/>
          <w:color w:val="000000"/>
          <w:kern w:val="0"/>
          <w:sz w:val="21"/>
          <w:szCs w:val="21"/>
          <w:lang w:eastAsia="it-IT"/>
          <w14:ligatures w14:val="none"/>
        </w:rPr>
        <w:t>in considerazione della prossima apertura della fase di aggiornamento delle GAE e delle GPS. </w:t>
      </w:r>
      <w:r w:rsidRPr="006F71FA">
        <w:rPr>
          <w:rFonts w:ascii="Arial" w:eastAsia="Times New Roman" w:hAnsi="Arial" w:cs="Arial"/>
          <w:color w:val="000000"/>
          <w:kern w:val="0"/>
          <w:sz w:val="21"/>
          <w:szCs w:val="21"/>
          <w:lang w:eastAsia="it-IT"/>
          <w14:ligatures w14:val="none"/>
        </w:rPr>
        <w:t>Alla luce del DM 255/2023, infatti, </w:t>
      </w:r>
      <w:r w:rsidRPr="006F71FA">
        <w:rPr>
          <w:rFonts w:ascii="Arial" w:eastAsia="Times New Roman" w:hAnsi="Arial" w:cs="Arial"/>
          <w:b/>
          <w:bCs/>
          <w:color w:val="000000"/>
          <w:kern w:val="0"/>
          <w:sz w:val="21"/>
          <w:szCs w:val="21"/>
          <w:lang w:eastAsia="it-IT"/>
          <w14:ligatures w14:val="none"/>
        </w:rPr>
        <w:t>appare necessario</w:t>
      </w:r>
      <w:r w:rsidRPr="006F71FA">
        <w:rPr>
          <w:rFonts w:ascii="Arial" w:eastAsia="Times New Roman" w:hAnsi="Arial" w:cs="Arial"/>
          <w:color w:val="000000"/>
          <w:kern w:val="0"/>
          <w:sz w:val="21"/>
          <w:szCs w:val="21"/>
          <w:lang w:eastAsia="it-IT"/>
          <w14:ligatures w14:val="none"/>
        </w:rPr>
        <w:t> </w:t>
      </w:r>
      <w:r w:rsidRPr="006F71FA">
        <w:rPr>
          <w:rFonts w:ascii="Arial" w:eastAsia="Times New Roman" w:hAnsi="Arial" w:cs="Arial"/>
          <w:b/>
          <w:bCs/>
          <w:color w:val="000000"/>
          <w:kern w:val="0"/>
          <w:sz w:val="21"/>
          <w:szCs w:val="21"/>
          <w:lang w:eastAsia="it-IT"/>
          <w14:ligatures w14:val="none"/>
        </w:rPr>
        <w:t>chiarire se i docenti già abilitati </w:t>
      </w:r>
      <w:r w:rsidRPr="006F71FA">
        <w:rPr>
          <w:rFonts w:ascii="Arial" w:eastAsia="Times New Roman" w:hAnsi="Arial" w:cs="Arial"/>
          <w:color w:val="000000"/>
          <w:kern w:val="0"/>
          <w:sz w:val="21"/>
          <w:szCs w:val="21"/>
          <w:lang w:eastAsia="it-IT"/>
          <w14:ligatures w14:val="none"/>
        </w:rPr>
        <w:t>(ad es. a seguito del superamento del concorso ordinario bandito con il D.D. n. 499 del 21 aprile 2020) </w:t>
      </w:r>
      <w:r w:rsidRPr="006F71FA">
        <w:rPr>
          <w:rFonts w:ascii="Arial" w:eastAsia="Times New Roman" w:hAnsi="Arial" w:cs="Arial"/>
          <w:b/>
          <w:bCs/>
          <w:color w:val="000000"/>
          <w:kern w:val="0"/>
          <w:sz w:val="21"/>
          <w:szCs w:val="21"/>
          <w:lang w:eastAsia="it-IT"/>
          <w14:ligatures w14:val="none"/>
        </w:rPr>
        <w:t>in una delle classi di concorso ora accorpate (es. A-01 e A17) possono considerarsi abilitati per entrambe le classi</w:t>
      </w:r>
      <w:r w:rsidRPr="006F71FA">
        <w:rPr>
          <w:rFonts w:ascii="Arial" w:eastAsia="Times New Roman" w:hAnsi="Arial" w:cs="Arial"/>
          <w:color w:val="000000"/>
          <w:kern w:val="0"/>
          <w:sz w:val="21"/>
          <w:szCs w:val="21"/>
          <w:lang w:eastAsia="it-IT"/>
          <w14:ligatures w14:val="none"/>
        </w:rPr>
        <w:t>.</w:t>
      </w:r>
    </w:p>
    <w:p w14:paraId="5BA1FF5B" w14:textId="77777777" w:rsidR="006F71FA" w:rsidRPr="006F71FA" w:rsidRDefault="006F71FA" w:rsidP="006F71F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F71FA">
        <w:rPr>
          <w:rFonts w:ascii="Arial" w:eastAsia="Times New Roman" w:hAnsi="Arial" w:cs="Arial"/>
          <w:color w:val="000000"/>
          <w:kern w:val="0"/>
          <w:sz w:val="21"/>
          <w:szCs w:val="21"/>
          <w:lang w:eastAsia="it-IT"/>
          <w14:ligatures w14:val="none"/>
        </w:rPr>
        <w:t>La necessità di una rapida definizione della questione è determinata, peraltro, dalla </w:t>
      </w:r>
      <w:r w:rsidRPr="006F71FA">
        <w:rPr>
          <w:rFonts w:ascii="Arial" w:eastAsia="Times New Roman" w:hAnsi="Arial" w:cs="Arial"/>
          <w:b/>
          <w:bCs/>
          <w:color w:val="000000"/>
          <w:kern w:val="0"/>
          <w:sz w:val="21"/>
          <w:szCs w:val="21"/>
          <w:lang w:eastAsia="it-IT"/>
          <w14:ligatures w14:val="none"/>
        </w:rPr>
        <w:t>ricaduta del provvedimento</w:t>
      </w:r>
      <w:r w:rsidRPr="006F71FA">
        <w:rPr>
          <w:rFonts w:ascii="Arial" w:eastAsia="Times New Roman" w:hAnsi="Arial" w:cs="Arial"/>
          <w:color w:val="000000"/>
          <w:kern w:val="0"/>
          <w:sz w:val="21"/>
          <w:szCs w:val="21"/>
          <w:lang w:eastAsia="it-IT"/>
          <w14:ligatures w14:val="none"/>
        </w:rPr>
        <w:t> </w:t>
      </w:r>
      <w:r w:rsidRPr="006F71FA">
        <w:rPr>
          <w:rFonts w:ascii="Arial" w:eastAsia="Times New Roman" w:hAnsi="Arial" w:cs="Arial"/>
          <w:b/>
          <w:bCs/>
          <w:color w:val="000000"/>
          <w:kern w:val="0"/>
          <w:sz w:val="21"/>
          <w:szCs w:val="21"/>
          <w:lang w:eastAsia="it-IT"/>
          <w14:ligatures w14:val="none"/>
        </w:rPr>
        <w:t>anche sulle prossime operazioni di mobilità professionale relative all’a.s.2024/25. </w:t>
      </w:r>
      <w:r w:rsidRPr="006F71FA">
        <w:rPr>
          <w:rFonts w:ascii="Arial" w:eastAsia="Times New Roman" w:hAnsi="Arial" w:cs="Arial"/>
          <w:color w:val="000000"/>
          <w:kern w:val="0"/>
          <w:sz w:val="21"/>
          <w:szCs w:val="21"/>
          <w:lang w:eastAsia="it-IT"/>
          <w14:ligatures w14:val="none"/>
        </w:rPr>
        <w:t xml:space="preserve">Infatti, sarà necessario mettere in chiaro se l’abilitazione già in possesso del docente nella classe di concorso di titolarità può essere considerato requisito valido per l’altra </w:t>
      </w:r>
      <w:proofErr w:type="spellStart"/>
      <w:r w:rsidRPr="006F71FA">
        <w:rPr>
          <w:rFonts w:ascii="Arial" w:eastAsia="Times New Roman" w:hAnsi="Arial" w:cs="Arial"/>
          <w:color w:val="000000"/>
          <w:kern w:val="0"/>
          <w:sz w:val="21"/>
          <w:szCs w:val="21"/>
          <w:lang w:eastAsia="it-IT"/>
          <w14:ligatures w14:val="none"/>
        </w:rPr>
        <w:t>cdc</w:t>
      </w:r>
      <w:proofErr w:type="spellEnd"/>
      <w:r w:rsidRPr="006F71FA">
        <w:rPr>
          <w:rFonts w:ascii="Arial" w:eastAsia="Times New Roman" w:hAnsi="Arial" w:cs="Arial"/>
          <w:color w:val="000000"/>
          <w:kern w:val="0"/>
          <w:sz w:val="21"/>
          <w:szCs w:val="21"/>
          <w:lang w:eastAsia="it-IT"/>
          <w14:ligatures w14:val="none"/>
        </w:rPr>
        <w:t xml:space="preserve"> appartenente al medesimo accorpamento, ai fini del passaggio di ruolo o di cattedra.</w:t>
      </w:r>
    </w:p>
    <w:p w14:paraId="47F45CDF" w14:textId="298064C7" w:rsidR="006F71FA" w:rsidRPr="006F71FA" w:rsidRDefault="006F71FA" w:rsidP="006F71F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F71FA">
        <w:rPr>
          <w:rFonts w:ascii="Arial" w:eastAsia="Times New Roman" w:hAnsi="Arial" w:cs="Arial"/>
          <w:b/>
          <w:bCs/>
          <w:color w:val="000000"/>
          <w:kern w:val="0"/>
          <w:sz w:val="21"/>
          <w:szCs w:val="21"/>
          <w:lang w:eastAsia="it-IT"/>
          <w14:ligatures w14:val="none"/>
        </w:rPr>
        <w:lastRenderedPageBreak/>
        <w:t>La FLC CGIL</w:t>
      </w:r>
      <w:r w:rsidRPr="006F71FA">
        <w:rPr>
          <w:rFonts w:ascii="Arial" w:eastAsia="Times New Roman" w:hAnsi="Arial" w:cs="Arial"/>
          <w:color w:val="000000"/>
          <w:kern w:val="0"/>
          <w:sz w:val="21"/>
          <w:szCs w:val="21"/>
          <w:lang w:eastAsia="it-IT"/>
          <w14:ligatures w14:val="none"/>
        </w:rPr>
        <w:t>, pur consapevole di quanto contenuto all’art. 2 del D.M. 255/2023, ovvero che “relativamente alle classi di concorso A-01, A-12, A-22, A-30 e A-48, A-70 e A-71, resta ferma la distinzione dei ruoli della scuola secondaria di I grado e della scuola secondaria di II grado,</w:t>
      </w:r>
      <w:r w:rsidRPr="006F71FA">
        <w:rPr>
          <w:rFonts w:ascii="Arial" w:eastAsia="Times New Roman" w:hAnsi="Arial" w:cs="Arial"/>
          <w:b/>
          <w:bCs/>
          <w:color w:val="000000"/>
          <w:kern w:val="0"/>
          <w:sz w:val="21"/>
          <w:szCs w:val="21"/>
          <w:lang w:eastAsia="it-IT"/>
          <w14:ligatures w14:val="none"/>
        </w:rPr>
        <w:t> prima che dilaghino interpretazioni soggettive ed estemporanee, ha sollevato tempestivamente la problematicità dell’applicazione delle novità introdotte dal citato decreto” a tutela del personale docente precario e di ruolo</w:t>
      </w:r>
      <w:r w:rsidRPr="006F71FA">
        <w:rPr>
          <w:rFonts w:ascii="Arial" w:eastAsia="Times New Roman" w:hAnsi="Arial" w:cs="Arial"/>
          <w:color w:val="000000"/>
          <w:kern w:val="0"/>
          <w:sz w:val="21"/>
          <w:szCs w:val="21"/>
          <w:lang w:eastAsia="it-IT"/>
          <w14:ligatures w14:val="none"/>
        </w:rPr>
        <w:t>.</w:t>
      </w:r>
    </w:p>
    <w:p w14:paraId="3F5FBD45" w14:textId="77777777" w:rsidR="00D00875" w:rsidRPr="00CA5157" w:rsidRDefault="00D00875" w:rsidP="00D00875">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CA5157">
        <w:rPr>
          <w:rFonts w:ascii="Tahoma" w:eastAsia="Times New Roman" w:hAnsi="Tahoma" w:cs="Tahoma"/>
          <w:color w:val="DC3B33"/>
          <w:kern w:val="36"/>
          <w:sz w:val="45"/>
          <w:szCs w:val="45"/>
          <w:lang w:eastAsia="it-IT"/>
          <w14:ligatures w14:val="none"/>
        </w:rPr>
        <w:t>Emendamenti Milleproroghe: nessuna proroga per le assunzioni da GPS I fascia</w:t>
      </w:r>
    </w:p>
    <w:p w14:paraId="56ECE2AC" w14:textId="77777777" w:rsidR="00D00875" w:rsidRPr="00CA5157" w:rsidRDefault="00D00875" w:rsidP="00D00875">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CA5157">
        <w:rPr>
          <w:rFonts w:ascii="Arial" w:eastAsia="Times New Roman" w:hAnsi="Arial" w:cs="Arial"/>
          <w:color w:val="535353"/>
          <w:kern w:val="0"/>
          <w:sz w:val="27"/>
          <w:szCs w:val="27"/>
          <w:lang w:eastAsia="it-IT"/>
          <w14:ligatures w14:val="none"/>
        </w:rPr>
        <w:t>L’emendamento, proposto dalla FLC CGIL, non risulta tra quelli approvati in Commissione. Ignorata anche la proposta di abrogazione dei vincoli triennali per i docenti neo-assunti.</w:t>
      </w:r>
    </w:p>
    <w:p w14:paraId="58C0BBD2" w14:textId="77777777" w:rsidR="00D00875" w:rsidRPr="00CA5157" w:rsidRDefault="00D00875" w:rsidP="00D00875">
      <w:pPr>
        <w:shd w:val="clear" w:color="auto" w:fill="FFFFFF"/>
        <w:spacing w:after="0" w:line="240" w:lineRule="auto"/>
        <w:rPr>
          <w:rFonts w:ascii="Arial" w:eastAsia="Times New Roman" w:hAnsi="Arial" w:cs="Arial"/>
          <w:color w:val="4D4D4D"/>
          <w:kern w:val="0"/>
          <w:sz w:val="21"/>
          <w:szCs w:val="21"/>
          <w:lang w:eastAsia="it-IT"/>
          <w14:ligatures w14:val="none"/>
        </w:rPr>
      </w:pPr>
      <w:r w:rsidRPr="00CA5157">
        <w:rPr>
          <w:rFonts w:ascii="Arial" w:eastAsia="Times New Roman" w:hAnsi="Arial" w:cs="Arial"/>
          <w:b/>
          <w:bCs/>
          <w:color w:val="4D4D4D"/>
          <w:kern w:val="0"/>
          <w:sz w:val="21"/>
          <w:szCs w:val="21"/>
          <w:lang w:eastAsia="it-IT"/>
          <w14:ligatures w14:val="none"/>
        </w:rPr>
        <w:t>15/02/2024</w:t>
      </w:r>
    </w:p>
    <w:p w14:paraId="74F2513C" w14:textId="77777777" w:rsidR="00D00875" w:rsidRDefault="00D00875" w:rsidP="00D0087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0F2364DC" w14:textId="77777777" w:rsidR="00D00875" w:rsidRPr="00CA5157" w:rsidRDefault="00D00875" w:rsidP="00D0087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CA5157">
        <w:rPr>
          <w:rFonts w:ascii="Arial" w:eastAsia="Times New Roman" w:hAnsi="Arial" w:cs="Arial"/>
          <w:color w:val="000000"/>
          <w:kern w:val="0"/>
          <w:sz w:val="21"/>
          <w:szCs w:val="21"/>
          <w:lang w:eastAsia="it-IT"/>
          <w14:ligatures w14:val="none"/>
        </w:rPr>
        <w:t>Nell’iter di conversione del DL 215/2023 (Milleproroghe), sono stati approvati alcuni importanti emendamenti che riguardano il </w:t>
      </w:r>
      <w:hyperlink r:id="rId11" w:tgtFrame="_blank" w:history="1">
        <w:r w:rsidRPr="00CA5157">
          <w:rPr>
            <w:rFonts w:ascii="Arial" w:eastAsia="Times New Roman" w:hAnsi="Arial" w:cs="Arial"/>
            <w:color w:val="005EB3"/>
            <w:kern w:val="0"/>
            <w:sz w:val="21"/>
            <w:szCs w:val="21"/>
            <w:lang w:eastAsia="it-IT"/>
            <w14:ligatures w14:val="none"/>
          </w:rPr>
          <w:t>settore scuola</w:t>
        </w:r>
      </w:hyperlink>
      <w:r w:rsidRPr="00CA5157">
        <w:rPr>
          <w:rFonts w:ascii="Arial" w:eastAsia="Times New Roman" w:hAnsi="Arial" w:cs="Arial"/>
          <w:color w:val="000000"/>
          <w:kern w:val="0"/>
          <w:sz w:val="21"/>
          <w:szCs w:val="21"/>
          <w:lang w:eastAsia="it-IT"/>
          <w14:ligatures w14:val="none"/>
        </w:rPr>
        <w:t>.</w:t>
      </w:r>
    </w:p>
    <w:p w14:paraId="5BE0FB5A" w14:textId="77777777" w:rsidR="00D00875" w:rsidRPr="00CA5157" w:rsidRDefault="00D00875" w:rsidP="00D0087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CA5157">
        <w:rPr>
          <w:rFonts w:ascii="Arial" w:eastAsia="Times New Roman" w:hAnsi="Arial" w:cs="Arial"/>
          <w:color w:val="000000"/>
          <w:kern w:val="0"/>
          <w:sz w:val="21"/>
          <w:szCs w:val="21"/>
          <w:lang w:eastAsia="it-IT"/>
          <w14:ligatures w14:val="none"/>
        </w:rPr>
        <w:t>La </w:t>
      </w:r>
      <w:r w:rsidRPr="00CA5157">
        <w:rPr>
          <w:rFonts w:ascii="Arial" w:eastAsia="Times New Roman" w:hAnsi="Arial" w:cs="Arial"/>
          <w:b/>
          <w:bCs/>
          <w:color w:val="000000"/>
          <w:kern w:val="0"/>
          <w:sz w:val="21"/>
          <w:szCs w:val="21"/>
          <w:lang w:eastAsia="it-IT"/>
          <w14:ligatures w14:val="none"/>
        </w:rPr>
        <w:t>FLC CGIL</w:t>
      </w:r>
      <w:r w:rsidRPr="00CA5157">
        <w:rPr>
          <w:rFonts w:ascii="Arial" w:eastAsia="Times New Roman" w:hAnsi="Arial" w:cs="Arial"/>
          <w:color w:val="000000"/>
          <w:kern w:val="0"/>
          <w:sz w:val="21"/>
          <w:szCs w:val="21"/>
          <w:lang w:eastAsia="it-IT"/>
          <w14:ligatures w14:val="none"/>
        </w:rPr>
        <w:t> valuta positivamente le modifiche apportate, ma contemporaneamente rileva alcune </w:t>
      </w:r>
      <w:r w:rsidRPr="00CA5157">
        <w:rPr>
          <w:rFonts w:ascii="Arial" w:eastAsia="Times New Roman" w:hAnsi="Arial" w:cs="Arial"/>
          <w:b/>
          <w:bCs/>
          <w:color w:val="000000"/>
          <w:kern w:val="0"/>
          <w:sz w:val="21"/>
          <w:szCs w:val="21"/>
          <w:lang w:eastAsia="it-IT"/>
          <w14:ligatures w14:val="none"/>
        </w:rPr>
        <w:t>gravi mancanze</w:t>
      </w:r>
      <w:r w:rsidRPr="00CA5157">
        <w:rPr>
          <w:rFonts w:ascii="Arial" w:eastAsia="Times New Roman" w:hAnsi="Arial" w:cs="Arial"/>
          <w:color w:val="000000"/>
          <w:kern w:val="0"/>
          <w:sz w:val="21"/>
          <w:szCs w:val="21"/>
          <w:lang w:eastAsia="it-IT"/>
          <w14:ligatures w14:val="none"/>
        </w:rPr>
        <w:t>. In particolare, sono state ignorate le proposte relative alle </w:t>
      </w:r>
      <w:r w:rsidRPr="00CA5157">
        <w:rPr>
          <w:rFonts w:ascii="Arial" w:eastAsia="Times New Roman" w:hAnsi="Arial" w:cs="Arial"/>
          <w:b/>
          <w:bCs/>
          <w:color w:val="000000"/>
          <w:kern w:val="0"/>
          <w:sz w:val="21"/>
          <w:szCs w:val="21"/>
          <w:lang w:eastAsia="it-IT"/>
          <w14:ligatures w14:val="none"/>
        </w:rPr>
        <w:t>proroghe delle assunzioni da GPS I fascia</w:t>
      </w:r>
      <w:r w:rsidRPr="00CA5157">
        <w:rPr>
          <w:rFonts w:ascii="Arial" w:eastAsia="Times New Roman" w:hAnsi="Arial" w:cs="Arial"/>
          <w:color w:val="000000"/>
          <w:kern w:val="0"/>
          <w:sz w:val="21"/>
          <w:szCs w:val="21"/>
          <w:lang w:eastAsia="it-IT"/>
          <w14:ligatures w14:val="none"/>
        </w:rPr>
        <w:t> sostegno, con ampliamento ai posti comuni, e </w:t>
      </w:r>
      <w:r w:rsidRPr="00CA5157">
        <w:rPr>
          <w:rFonts w:ascii="Arial" w:eastAsia="Times New Roman" w:hAnsi="Arial" w:cs="Arial"/>
          <w:b/>
          <w:bCs/>
          <w:color w:val="000000"/>
          <w:kern w:val="0"/>
          <w:sz w:val="21"/>
          <w:szCs w:val="21"/>
          <w:lang w:eastAsia="it-IT"/>
          <w14:ligatures w14:val="none"/>
        </w:rPr>
        <w:t>all’abrogazione dei vincoli alla mobilità</w:t>
      </w:r>
      <w:r w:rsidRPr="00CA5157">
        <w:rPr>
          <w:rFonts w:ascii="Arial" w:eastAsia="Times New Roman" w:hAnsi="Arial" w:cs="Arial"/>
          <w:color w:val="000000"/>
          <w:kern w:val="0"/>
          <w:sz w:val="21"/>
          <w:szCs w:val="21"/>
          <w:lang w:eastAsia="it-IT"/>
          <w14:ligatures w14:val="none"/>
        </w:rPr>
        <w:t> per i docenti neo-assunti.</w:t>
      </w:r>
    </w:p>
    <w:p w14:paraId="611784B5" w14:textId="77777777" w:rsidR="00D00875" w:rsidRPr="00CA5157" w:rsidRDefault="00D00875" w:rsidP="00D0087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CA5157">
        <w:rPr>
          <w:rFonts w:ascii="Arial" w:eastAsia="Times New Roman" w:hAnsi="Arial" w:cs="Arial"/>
          <w:color w:val="000000"/>
          <w:kern w:val="0"/>
          <w:sz w:val="21"/>
          <w:szCs w:val="21"/>
          <w:lang w:eastAsia="it-IT"/>
          <w14:ligatures w14:val="none"/>
        </w:rPr>
        <w:t>Un’occasione mancata per dare risposte concrete alle istanze dei lavoratori e ai bisogni del sistema scolastico.</w:t>
      </w:r>
    </w:p>
    <w:p w14:paraId="6A5E513F" w14:textId="0012FDA6" w:rsidR="00D00875" w:rsidRPr="00D00875" w:rsidRDefault="00D00875" w:rsidP="00D0087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CA5157">
        <w:rPr>
          <w:rFonts w:ascii="Arial" w:eastAsia="Times New Roman" w:hAnsi="Arial" w:cs="Arial"/>
          <w:color w:val="000000"/>
          <w:kern w:val="0"/>
          <w:sz w:val="21"/>
          <w:szCs w:val="21"/>
          <w:lang w:eastAsia="it-IT"/>
          <w14:ligatures w14:val="none"/>
        </w:rPr>
        <w:t>La FLC intende portare avanti le rivendicazioni, affinché vengano individuati strumenti normativi idonei a intervenire su a</w:t>
      </w:r>
    </w:p>
    <w:p w14:paraId="7BC82A10" w14:textId="0A6F495E" w:rsidR="006F71FA" w:rsidRPr="006F71FA" w:rsidRDefault="006F71FA" w:rsidP="006F71FA">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6F71FA">
        <w:rPr>
          <w:rFonts w:ascii="Tahoma" w:eastAsia="Times New Roman" w:hAnsi="Tahoma" w:cs="Tahoma"/>
          <w:color w:val="DC3B33"/>
          <w:kern w:val="36"/>
          <w:sz w:val="45"/>
          <w:szCs w:val="45"/>
          <w:lang w:eastAsia="it-IT"/>
          <w14:ligatures w14:val="none"/>
        </w:rPr>
        <w:t>Decreto milleproroghe 2024: gli emendamenti per la scuola. Importanti novità per i precari</w:t>
      </w:r>
    </w:p>
    <w:p w14:paraId="49029236" w14:textId="77777777" w:rsidR="006F71FA" w:rsidRPr="006F71FA" w:rsidRDefault="006F71FA" w:rsidP="006F71FA">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6F71FA">
        <w:rPr>
          <w:rFonts w:ascii="Arial" w:eastAsia="Times New Roman" w:hAnsi="Arial" w:cs="Arial"/>
          <w:color w:val="535353"/>
          <w:kern w:val="0"/>
          <w:sz w:val="27"/>
          <w:szCs w:val="27"/>
          <w:lang w:eastAsia="it-IT"/>
          <w14:ligatures w14:val="none"/>
        </w:rPr>
        <w:t>Il PCTO non sarà requisito di ammissione all’esame di Stato, si introduce l’aggiornamento biennale delle GAE e la proroga dell’acquisizione delle certificazioni informatiche per il personale ATA</w:t>
      </w:r>
    </w:p>
    <w:p w14:paraId="02AFF8C3" w14:textId="77777777" w:rsidR="006F71FA" w:rsidRPr="006F71FA" w:rsidRDefault="006F71FA" w:rsidP="006F71FA">
      <w:pPr>
        <w:shd w:val="clear" w:color="auto" w:fill="FFFFFF"/>
        <w:spacing w:after="0" w:line="240" w:lineRule="auto"/>
        <w:rPr>
          <w:rFonts w:ascii="Arial" w:eastAsia="Times New Roman" w:hAnsi="Arial" w:cs="Arial"/>
          <w:color w:val="4D4D4D"/>
          <w:kern w:val="0"/>
          <w:sz w:val="21"/>
          <w:szCs w:val="21"/>
          <w:lang w:eastAsia="it-IT"/>
          <w14:ligatures w14:val="none"/>
        </w:rPr>
      </w:pPr>
      <w:r w:rsidRPr="006F71FA">
        <w:rPr>
          <w:rFonts w:ascii="Arial" w:eastAsia="Times New Roman" w:hAnsi="Arial" w:cs="Arial"/>
          <w:b/>
          <w:bCs/>
          <w:color w:val="4D4D4D"/>
          <w:kern w:val="0"/>
          <w:sz w:val="21"/>
          <w:szCs w:val="21"/>
          <w:lang w:eastAsia="it-IT"/>
          <w14:ligatures w14:val="none"/>
        </w:rPr>
        <w:t>14/02/2024</w:t>
      </w:r>
    </w:p>
    <w:p w14:paraId="2BE8EE22" w14:textId="77777777" w:rsidR="006F71FA" w:rsidRDefault="006F71FA" w:rsidP="006F71F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7D1D22FA" w14:textId="64CD1D46" w:rsidR="006F71FA" w:rsidRPr="006F71FA" w:rsidRDefault="006F71FA" w:rsidP="006F71F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F71FA">
        <w:rPr>
          <w:rFonts w:ascii="Arial" w:eastAsia="Times New Roman" w:hAnsi="Arial" w:cs="Arial"/>
          <w:color w:val="000000"/>
          <w:kern w:val="0"/>
          <w:sz w:val="21"/>
          <w:szCs w:val="21"/>
          <w:lang w:eastAsia="it-IT"/>
          <w14:ligatures w14:val="none"/>
        </w:rPr>
        <w:t>Tra gli </w:t>
      </w:r>
      <w:r w:rsidRPr="006F71FA">
        <w:rPr>
          <w:rFonts w:ascii="Arial" w:eastAsia="Times New Roman" w:hAnsi="Arial" w:cs="Arial"/>
          <w:b/>
          <w:bCs/>
          <w:color w:val="000000"/>
          <w:kern w:val="0"/>
          <w:sz w:val="21"/>
          <w:szCs w:val="21"/>
          <w:lang w:eastAsia="it-IT"/>
          <w14:ligatures w14:val="none"/>
        </w:rPr>
        <w:t>emendamenti</w:t>
      </w:r>
      <w:r w:rsidRPr="006F71FA">
        <w:rPr>
          <w:rFonts w:ascii="Arial" w:eastAsia="Times New Roman" w:hAnsi="Arial" w:cs="Arial"/>
          <w:color w:val="000000"/>
          <w:kern w:val="0"/>
          <w:sz w:val="21"/>
          <w:szCs w:val="21"/>
          <w:lang w:eastAsia="it-IT"/>
          <w14:ligatures w14:val="none"/>
        </w:rPr>
        <w:t> </w:t>
      </w:r>
      <w:hyperlink r:id="rId12" w:tgtFrame="_blank" w:history="1">
        <w:r w:rsidRPr="006F71FA">
          <w:rPr>
            <w:rFonts w:ascii="Arial" w:eastAsia="Times New Roman" w:hAnsi="Arial" w:cs="Arial"/>
            <w:color w:val="005EB3"/>
            <w:kern w:val="0"/>
            <w:sz w:val="21"/>
            <w:szCs w:val="21"/>
            <w:lang w:eastAsia="it-IT"/>
            <w14:ligatures w14:val="none"/>
          </w:rPr>
          <w:t>presentati</w:t>
        </w:r>
      </w:hyperlink>
      <w:r w:rsidRPr="006F71FA">
        <w:rPr>
          <w:rFonts w:ascii="Arial" w:eastAsia="Times New Roman" w:hAnsi="Arial" w:cs="Arial"/>
          <w:color w:val="000000"/>
          <w:kern w:val="0"/>
          <w:sz w:val="21"/>
          <w:szCs w:val="21"/>
          <w:lang w:eastAsia="it-IT"/>
          <w14:ligatures w14:val="none"/>
        </w:rPr>
        <w:t> al cosiddetto </w:t>
      </w:r>
      <w:r w:rsidRPr="006F71FA">
        <w:rPr>
          <w:rFonts w:ascii="Arial" w:eastAsia="Times New Roman" w:hAnsi="Arial" w:cs="Arial"/>
          <w:b/>
          <w:bCs/>
          <w:color w:val="000000"/>
          <w:kern w:val="0"/>
          <w:sz w:val="21"/>
          <w:szCs w:val="21"/>
          <w:lang w:eastAsia="it-IT"/>
          <w14:ligatures w14:val="none"/>
        </w:rPr>
        <w:t>“Decreto Milleproroghe”</w:t>
      </w:r>
      <w:r w:rsidRPr="006F71FA">
        <w:rPr>
          <w:rFonts w:ascii="Arial" w:eastAsia="Times New Roman" w:hAnsi="Arial" w:cs="Arial"/>
          <w:color w:val="000000"/>
          <w:kern w:val="0"/>
          <w:sz w:val="21"/>
          <w:szCs w:val="21"/>
          <w:lang w:eastAsia="it-IT"/>
          <w14:ligatures w14:val="none"/>
        </w:rPr>
        <w:t>, e approvati dalle Commissioni Bilancio e Affari costituzionali della Camera, alcuni riguardano il </w:t>
      </w:r>
      <w:r w:rsidRPr="006F71FA">
        <w:rPr>
          <w:rFonts w:ascii="Arial" w:eastAsia="Times New Roman" w:hAnsi="Arial" w:cs="Arial"/>
          <w:b/>
          <w:bCs/>
          <w:color w:val="000000"/>
          <w:kern w:val="0"/>
          <w:sz w:val="21"/>
          <w:szCs w:val="21"/>
          <w:lang w:eastAsia="it-IT"/>
          <w14:ligatures w14:val="none"/>
        </w:rPr>
        <w:t>settore scuola</w:t>
      </w:r>
      <w:r w:rsidRPr="006F71FA">
        <w:rPr>
          <w:rFonts w:ascii="Arial" w:eastAsia="Times New Roman" w:hAnsi="Arial" w:cs="Arial"/>
          <w:color w:val="000000"/>
          <w:kern w:val="0"/>
          <w:sz w:val="21"/>
          <w:szCs w:val="21"/>
          <w:lang w:eastAsia="it-IT"/>
          <w14:ligatures w14:val="none"/>
        </w:rPr>
        <w:t>. In particolare:</w:t>
      </w:r>
    </w:p>
    <w:p w14:paraId="61D3C1E3" w14:textId="77777777" w:rsidR="006F71FA" w:rsidRPr="006F71FA" w:rsidRDefault="006F71FA" w:rsidP="006F71FA">
      <w:pPr>
        <w:numPr>
          <w:ilvl w:val="0"/>
          <w:numId w:val="2"/>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6F71FA">
        <w:rPr>
          <w:rFonts w:ascii="Arial" w:eastAsia="Times New Roman" w:hAnsi="Arial" w:cs="Arial"/>
          <w:color w:val="000000"/>
          <w:kern w:val="0"/>
          <w:sz w:val="23"/>
          <w:szCs w:val="23"/>
          <w:lang w:eastAsia="it-IT"/>
          <w14:ligatures w14:val="none"/>
        </w:rPr>
        <w:t>l’esclusione dai requisiti per l’ammissione all’esame di Stato, anche per il 2024, dei </w:t>
      </w:r>
      <w:r w:rsidRPr="006F71FA">
        <w:rPr>
          <w:rFonts w:ascii="Arial" w:eastAsia="Times New Roman" w:hAnsi="Arial" w:cs="Arial"/>
          <w:b/>
          <w:bCs/>
          <w:color w:val="000000"/>
          <w:kern w:val="0"/>
          <w:sz w:val="23"/>
          <w:szCs w:val="23"/>
          <w:lang w:eastAsia="it-IT"/>
          <w14:ligatures w14:val="none"/>
        </w:rPr>
        <w:t>PCTO</w:t>
      </w:r>
      <w:r w:rsidRPr="006F71FA">
        <w:rPr>
          <w:rFonts w:ascii="Arial" w:eastAsia="Times New Roman" w:hAnsi="Arial" w:cs="Arial"/>
          <w:color w:val="000000"/>
          <w:kern w:val="0"/>
          <w:sz w:val="23"/>
          <w:szCs w:val="23"/>
          <w:lang w:eastAsia="it-IT"/>
          <w14:ligatures w14:val="none"/>
        </w:rPr>
        <w:t>, cioè dei percorsi per le competenze trasversali e orientamento (alternanza scuola-lavoro);</w:t>
      </w:r>
    </w:p>
    <w:p w14:paraId="13C1FF0E" w14:textId="77777777" w:rsidR="006F71FA" w:rsidRPr="006F71FA" w:rsidRDefault="006F71FA" w:rsidP="006F71FA">
      <w:pPr>
        <w:numPr>
          <w:ilvl w:val="0"/>
          <w:numId w:val="2"/>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6F71FA">
        <w:rPr>
          <w:rFonts w:ascii="Arial" w:eastAsia="Times New Roman" w:hAnsi="Arial" w:cs="Arial"/>
          <w:color w:val="000000"/>
          <w:kern w:val="0"/>
          <w:sz w:val="23"/>
          <w:szCs w:val="23"/>
          <w:lang w:eastAsia="it-IT"/>
          <w14:ligatures w14:val="none"/>
        </w:rPr>
        <w:t>l’</w:t>
      </w:r>
      <w:r w:rsidRPr="006F71FA">
        <w:rPr>
          <w:rFonts w:ascii="Arial" w:eastAsia="Times New Roman" w:hAnsi="Arial" w:cs="Arial"/>
          <w:b/>
          <w:bCs/>
          <w:color w:val="000000"/>
          <w:kern w:val="0"/>
          <w:sz w:val="23"/>
          <w:szCs w:val="23"/>
          <w:lang w:eastAsia="it-IT"/>
          <w14:ligatures w14:val="none"/>
        </w:rPr>
        <w:t>aggiornamento biennale delle GAE</w:t>
      </w:r>
      <w:r w:rsidRPr="006F71FA">
        <w:rPr>
          <w:rFonts w:ascii="Arial" w:eastAsia="Times New Roman" w:hAnsi="Arial" w:cs="Arial"/>
          <w:color w:val="000000"/>
          <w:kern w:val="0"/>
          <w:sz w:val="23"/>
          <w:szCs w:val="23"/>
          <w:lang w:eastAsia="it-IT"/>
          <w14:ligatures w14:val="none"/>
        </w:rPr>
        <w:t> per consentire l’allineamento con le GPS;</w:t>
      </w:r>
    </w:p>
    <w:p w14:paraId="14626A8B" w14:textId="77777777" w:rsidR="006F71FA" w:rsidRPr="006F71FA" w:rsidRDefault="006F71FA" w:rsidP="006F71FA">
      <w:pPr>
        <w:numPr>
          <w:ilvl w:val="0"/>
          <w:numId w:val="2"/>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6F71FA">
        <w:rPr>
          <w:rFonts w:ascii="Arial" w:eastAsia="Times New Roman" w:hAnsi="Arial" w:cs="Arial"/>
          <w:color w:val="000000"/>
          <w:kern w:val="0"/>
          <w:sz w:val="23"/>
          <w:szCs w:val="23"/>
          <w:lang w:eastAsia="it-IT"/>
          <w14:ligatures w14:val="none"/>
        </w:rPr>
        <w:t>la proroga di un anno, con decorrenza dalla sottoscrizione del CCNL, del termine per l’</w:t>
      </w:r>
      <w:r w:rsidRPr="006F71FA">
        <w:rPr>
          <w:rFonts w:ascii="Arial" w:eastAsia="Times New Roman" w:hAnsi="Arial" w:cs="Arial"/>
          <w:b/>
          <w:bCs/>
          <w:color w:val="000000"/>
          <w:kern w:val="0"/>
          <w:sz w:val="23"/>
          <w:szCs w:val="23"/>
          <w:lang w:eastAsia="it-IT"/>
          <w14:ligatures w14:val="none"/>
        </w:rPr>
        <w:t>acquisizione delle certificazioni informatiche</w:t>
      </w:r>
      <w:r w:rsidRPr="006F71FA">
        <w:rPr>
          <w:rFonts w:ascii="Arial" w:eastAsia="Times New Roman" w:hAnsi="Arial" w:cs="Arial"/>
          <w:color w:val="000000"/>
          <w:kern w:val="0"/>
          <w:sz w:val="23"/>
          <w:szCs w:val="23"/>
          <w:lang w:eastAsia="it-IT"/>
          <w14:ligatures w14:val="none"/>
        </w:rPr>
        <w:t> richieste per l’inserimento nelle graduatorie di istituto del personale ATA. Il termine vale anche per i nuovi inserimenti.</w:t>
      </w:r>
    </w:p>
    <w:p w14:paraId="1E9E21A7" w14:textId="77777777" w:rsidR="006F71FA" w:rsidRPr="006F71FA" w:rsidRDefault="006F71FA" w:rsidP="006F71F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F71FA">
        <w:rPr>
          <w:rFonts w:ascii="Arial" w:eastAsia="Times New Roman" w:hAnsi="Arial" w:cs="Arial"/>
          <w:color w:val="000000"/>
          <w:kern w:val="0"/>
          <w:sz w:val="21"/>
          <w:szCs w:val="21"/>
          <w:lang w:eastAsia="it-IT"/>
          <w14:ligatures w14:val="none"/>
        </w:rPr>
        <w:t>Il testo andrà in Aula giovedì 15 febbraio e, come prevedibile, nel corso della stessa giornata, il governo porrà la questione di fiducia. La </w:t>
      </w:r>
      <w:r w:rsidRPr="006F71FA">
        <w:rPr>
          <w:rFonts w:ascii="Arial" w:eastAsia="Times New Roman" w:hAnsi="Arial" w:cs="Arial"/>
          <w:b/>
          <w:bCs/>
          <w:color w:val="000000"/>
          <w:kern w:val="0"/>
          <w:sz w:val="21"/>
          <w:szCs w:val="21"/>
          <w:lang w:eastAsia="it-IT"/>
          <w14:ligatures w14:val="none"/>
        </w:rPr>
        <w:t>votazione </w:t>
      </w:r>
      <w:r w:rsidRPr="006F71FA">
        <w:rPr>
          <w:rFonts w:ascii="Arial" w:eastAsia="Times New Roman" w:hAnsi="Arial" w:cs="Arial"/>
          <w:color w:val="000000"/>
          <w:kern w:val="0"/>
          <w:sz w:val="21"/>
          <w:szCs w:val="21"/>
          <w:lang w:eastAsia="it-IT"/>
          <w14:ligatures w14:val="none"/>
        </w:rPr>
        <w:t>è attesa, invece, per lunedì 19 febbraio.</w:t>
      </w:r>
    </w:p>
    <w:p w14:paraId="6799A8A8" w14:textId="77777777" w:rsidR="000D0D40" w:rsidRDefault="000D0D40"/>
    <w:sectPr w:rsidR="000D0D4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7562"/>
    <w:multiLevelType w:val="multilevel"/>
    <w:tmpl w:val="EB3E4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2A1832"/>
    <w:multiLevelType w:val="multilevel"/>
    <w:tmpl w:val="EA4AC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5F630A"/>
    <w:multiLevelType w:val="multilevel"/>
    <w:tmpl w:val="9FB45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DF73A5"/>
    <w:multiLevelType w:val="multilevel"/>
    <w:tmpl w:val="C57CC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49578B"/>
    <w:multiLevelType w:val="multilevel"/>
    <w:tmpl w:val="5FD02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F32B0E"/>
    <w:multiLevelType w:val="multilevel"/>
    <w:tmpl w:val="D5E08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B31BE7"/>
    <w:multiLevelType w:val="multilevel"/>
    <w:tmpl w:val="5EE4D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1007685">
    <w:abstractNumId w:val="5"/>
  </w:num>
  <w:num w:numId="2" w16cid:durableId="1477724096">
    <w:abstractNumId w:val="2"/>
  </w:num>
  <w:num w:numId="3" w16cid:durableId="901716856">
    <w:abstractNumId w:val="0"/>
  </w:num>
  <w:num w:numId="4" w16cid:durableId="349768699">
    <w:abstractNumId w:val="1"/>
  </w:num>
  <w:num w:numId="5" w16cid:durableId="211237892">
    <w:abstractNumId w:val="4"/>
  </w:num>
  <w:num w:numId="6" w16cid:durableId="971400522">
    <w:abstractNumId w:val="3"/>
  </w:num>
  <w:num w:numId="7" w16cid:durableId="14610688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1FA"/>
    <w:rsid w:val="000D0D40"/>
    <w:rsid w:val="000D0EC2"/>
    <w:rsid w:val="006F71FA"/>
    <w:rsid w:val="00CA5157"/>
    <w:rsid w:val="00D008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BE05E"/>
  <w15:chartTrackingRefBased/>
  <w15:docId w15:val="{AE578526-0010-4CC6-82FD-A405989A9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993951">
      <w:bodyDiv w:val="1"/>
      <w:marLeft w:val="0"/>
      <w:marRight w:val="0"/>
      <w:marTop w:val="0"/>
      <w:marBottom w:val="0"/>
      <w:divBdr>
        <w:top w:val="none" w:sz="0" w:space="0" w:color="auto"/>
        <w:left w:val="none" w:sz="0" w:space="0" w:color="auto"/>
        <w:bottom w:val="none" w:sz="0" w:space="0" w:color="auto"/>
        <w:right w:val="none" w:sz="0" w:space="0" w:color="auto"/>
      </w:divBdr>
      <w:divsChild>
        <w:div w:id="673921317">
          <w:marLeft w:val="0"/>
          <w:marRight w:val="0"/>
          <w:marTop w:val="150"/>
          <w:marBottom w:val="150"/>
          <w:divBdr>
            <w:top w:val="none" w:sz="0" w:space="0" w:color="auto"/>
            <w:left w:val="none" w:sz="0" w:space="0" w:color="auto"/>
            <w:bottom w:val="single" w:sz="6" w:space="0" w:color="CCCCCC"/>
            <w:right w:val="none" w:sz="0" w:space="0" w:color="auto"/>
          </w:divBdr>
          <w:divsChild>
            <w:div w:id="749542696">
              <w:marLeft w:val="0"/>
              <w:marRight w:val="0"/>
              <w:marTop w:val="0"/>
              <w:marBottom w:val="0"/>
              <w:divBdr>
                <w:top w:val="none" w:sz="0" w:space="0" w:color="auto"/>
                <w:left w:val="none" w:sz="0" w:space="0" w:color="auto"/>
                <w:bottom w:val="none" w:sz="0" w:space="0" w:color="auto"/>
                <w:right w:val="none" w:sz="0" w:space="0" w:color="auto"/>
              </w:divBdr>
            </w:div>
          </w:divsChild>
        </w:div>
        <w:div w:id="763889951">
          <w:marLeft w:val="0"/>
          <w:marRight w:val="0"/>
          <w:marTop w:val="0"/>
          <w:marBottom w:val="0"/>
          <w:divBdr>
            <w:top w:val="none" w:sz="0" w:space="0" w:color="auto"/>
            <w:left w:val="none" w:sz="0" w:space="0" w:color="auto"/>
            <w:bottom w:val="none" w:sz="0" w:space="0" w:color="auto"/>
            <w:right w:val="none" w:sz="0" w:space="0" w:color="auto"/>
          </w:divBdr>
          <w:divsChild>
            <w:div w:id="1405371995">
              <w:marLeft w:val="75"/>
              <w:marRight w:val="150"/>
              <w:marTop w:val="45"/>
              <w:marBottom w:val="75"/>
              <w:divBdr>
                <w:top w:val="none" w:sz="0" w:space="0" w:color="auto"/>
                <w:left w:val="none" w:sz="0" w:space="0" w:color="auto"/>
                <w:bottom w:val="none" w:sz="0" w:space="0" w:color="auto"/>
                <w:right w:val="none" w:sz="0" w:space="0" w:color="auto"/>
              </w:divBdr>
            </w:div>
            <w:div w:id="554899092">
              <w:marLeft w:val="300"/>
              <w:marRight w:val="150"/>
              <w:marTop w:val="75"/>
              <w:marBottom w:val="0"/>
              <w:divBdr>
                <w:top w:val="none" w:sz="0" w:space="0" w:color="auto"/>
                <w:left w:val="none" w:sz="0" w:space="0" w:color="auto"/>
                <w:bottom w:val="none" w:sz="0" w:space="0" w:color="auto"/>
                <w:right w:val="none" w:sz="0" w:space="0" w:color="auto"/>
              </w:divBdr>
            </w:div>
            <w:div w:id="774178097">
              <w:marLeft w:val="300"/>
              <w:marRight w:val="150"/>
              <w:marTop w:val="75"/>
              <w:marBottom w:val="0"/>
              <w:divBdr>
                <w:top w:val="none" w:sz="0" w:space="0" w:color="auto"/>
                <w:left w:val="none" w:sz="0" w:space="0" w:color="auto"/>
                <w:bottom w:val="none" w:sz="0" w:space="0" w:color="auto"/>
                <w:right w:val="none" w:sz="0" w:space="0" w:color="auto"/>
              </w:divBdr>
            </w:div>
          </w:divsChild>
        </w:div>
        <w:div w:id="1503665028">
          <w:marLeft w:val="0"/>
          <w:marRight w:val="0"/>
          <w:marTop w:val="75"/>
          <w:marBottom w:val="150"/>
          <w:divBdr>
            <w:top w:val="none" w:sz="0" w:space="0" w:color="auto"/>
            <w:left w:val="none" w:sz="0" w:space="0" w:color="auto"/>
            <w:bottom w:val="none" w:sz="0" w:space="0" w:color="auto"/>
            <w:right w:val="none" w:sz="0" w:space="0" w:color="auto"/>
          </w:divBdr>
          <w:divsChild>
            <w:div w:id="1221215129">
              <w:marLeft w:val="0"/>
              <w:marRight w:val="0"/>
              <w:marTop w:val="45"/>
              <w:marBottom w:val="0"/>
              <w:divBdr>
                <w:top w:val="none" w:sz="0" w:space="0" w:color="auto"/>
                <w:left w:val="single" w:sz="48" w:space="0" w:color="FFFFFF"/>
                <w:bottom w:val="single" w:sz="48" w:space="0" w:color="FFFFFF"/>
                <w:right w:val="none" w:sz="0" w:space="0" w:color="auto"/>
              </w:divBdr>
              <w:divsChild>
                <w:div w:id="424767234">
                  <w:marLeft w:val="0"/>
                  <w:marRight w:val="0"/>
                  <w:marTop w:val="0"/>
                  <w:marBottom w:val="0"/>
                  <w:divBdr>
                    <w:top w:val="single" w:sz="6" w:space="4" w:color="CCCCCC"/>
                    <w:left w:val="single" w:sz="6" w:space="4" w:color="CCCCCC"/>
                    <w:bottom w:val="single" w:sz="6" w:space="8" w:color="CCCCCC"/>
                    <w:right w:val="single" w:sz="6" w:space="4" w:color="CCCCCC"/>
                  </w:divBdr>
                </w:div>
              </w:divsChild>
            </w:div>
          </w:divsChild>
        </w:div>
      </w:divsChild>
    </w:div>
    <w:div w:id="1043210292">
      <w:bodyDiv w:val="1"/>
      <w:marLeft w:val="0"/>
      <w:marRight w:val="0"/>
      <w:marTop w:val="0"/>
      <w:marBottom w:val="0"/>
      <w:divBdr>
        <w:top w:val="none" w:sz="0" w:space="0" w:color="auto"/>
        <w:left w:val="none" w:sz="0" w:space="0" w:color="auto"/>
        <w:bottom w:val="none" w:sz="0" w:space="0" w:color="auto"/>
        <w:right w:val="none" w:sz="0" w:space="0" w:color="auto"/>
      </w:divBdr>
      <w:divsChild>
        <w:div w:id="931553066">
          <w:marLeft w:val="0"/>
          <w:marRight w:val="0"/>
          <w:marTop w:val="150"/>
          <w:marBottom w:val="150"/>
          <w:divBdr>
            <w:top w:val="none" w:sz="0" w:space="0" w:color="auto"/>
            <w:left w:val="none" w:sz="0" w:space="0" w:color="auto"/>
            <w:bottom w:val="single" w:sz="6" w:space="0" w:color="CCCCCC"/>
            <w:right w:val="none" w:sz="0" w:space="0" w:color="auto"/>
          </w:divBdr>
          <w:divsChild>
            <w:div w:id="1142384211">
              <w:marLeft w:val="0"/>
              <w:marRight w:val="0"/>
              <w:marTop w:val="0"/>
              <w:marBottom w:val="0"/>
              <w:divBdr>
                <w:top w:val="none" w:sz="0" w:space="0" w:color="auto"/>
                <w:left w:val="none" w:sz="0" w:space="0" w:color="auto"/>
                <w:bottom w:val="none" w:sz="0" w:space="0" w:color="auto"/>
                <w:right w:val="none" w:sz="0" w:space="0" w:color="auto"/>
              </w:divBdr>
            </w:div>
          </w:divsChild>
        </w:div>
        <w:div w:id="807866626">
          <w:marLeft w:val="0"/>
          <w:marRight w:val="0"/>
          <w:marTop w:val="0"/>
          <w:marBottom w:val="0"/>
          <w:divBdr>
            <w:top w:val="none" w:sz="0" w:space="0" w:color="auto"/>
            <w:left w:val="none" w:sz="0" w:space="0" w:color="auto"/>
            <w:bottom w:val="none" w:sz="0" w:space="0" w:color="auto"/>
            <w:right w:val="none" w:sz="0" w:space="0" w:color="auto"/>
          </w:divBdr>
          <w:divsChild>
            <w:div w:id="1897471949">
              <w:marLeft w:val="75"/>
              <w:marRight w:val="150"/>
              <w:marTop w:val="45"/>
              <w:marBottom w:val="75"/>
              <w:divBdr>
                <w:top w:val="none" w:sz="0" w:space="0" w:color="auto"/>
                <w:left w:val="none" w:sz="0" w:space="0" w:color="auto"/>
                <w:bottom w:val="none" w:sz="0" w:space="0" w:color="auto"/>
                <w:right w:val="none" w:sz="0" w:space="0" w:color="auto"/>
              </w:divBdr>
            </w:div>
            <w:div w:id="2077168725">
              <w:marLeft w:val="300"/>
              <w:marRight w:val="150"/>
              <w:marTop w:val="75"/>
              <w:marBottom w:val="0"/>
              <w:divBdr>
                <w:top w:val="none" w:sz="0" w:space="0" w:color="auto"/>
                <w:left w:val="none" w:sz="0" w:space="0" w:color="auto"/>
                <w:bottom w:val="none" w:sz="0" w:space="0" w:color="auto"/>
                <w:right w:val="none" w:sz="0" w:space="0" w:color="auto"/>
              </w:divBdr>
            </w:div>
            <w:div w:id="524439525">
              <w:marLeft w:val="300"/>
              <w:marRight w:val="150"/>
              <w:marTop w:val="75"/>
              <w:marBottom w:val="0"/>
              <w:divBdr>
                <w:top w:val="none" w:sz="0" w:space="0" w:color="auto"/>
                <w:left w:val="none" w:sz="0" w:space="0" w:color="auto"/>
                <w:bottom w:val="none" w:sz="0" w:space="0" w:color="auto"/>
                <w:right w:val="none" w:sz="0" w:space="0" w:color="auto"/>
              </w:divBdr>
            </w:div>
          </w:divsChild>
        </w:div>
        <w:div w:id="1489325523">
          <w:marLeft w:val="0"/>
          <w:marRight w:val="0"/>
          <w:marTop w:val="75"/>
          <w:marBottom w:val="150"/>
          <w:divBdr>
            <w:top w:val="none" w:sz="0" w:space="0" w:color="auto"/>
            <w:left w:val="none" w:sz="0" w:space="0" w:color="auto"/>
            <w:bottom w:val="none" w:sz="0" w:space="0" w:color="auto"/>
            <w:right w:val="none" w:sz="0" w:space="0" w:color="auto"/>
          </w:divBdr>
          <w:divsChild>
            <w:div w:id="1712419026">
              <w:marLeft w:val="0"/>
              <w:marRight w:val="0"/>
              <w:marTop w:val="45"/>
              <w:marBottom w:val="0"/>
              <w:divBdr>
                <w:top w:val="none" w:sz="0" w:space="0" w:color="auto"/>
                <w:left w:val="single" w:sz="48" w:space="0" w:color="FFFFFF"/>
                <w:bottom w:val="single" w:sz="48" w:space="0" w:color="FFFFFF"/>
                <w:right w:val="none" w:sz="0" w:space="0" w:color="auto"/>
              </w:divBdr>
              <w:divsChild>
                <w:div w:id="1951012324">
                  <w:marLeft w:val="0"/>
                  <w:marRight w:val="0"/>
                  <w:marTop w:val="0"/>
                  <w:marBottom w:val="0"/>
                  <w:divBdr>
                    <w:top w:val="single" w:sz="6" w:space="4" w:color="CCCCCC"/>
                    <w:left w:val="single" w:sz="6" w:space="4" w:color="CCCCCC"/>
                    <w:bottom w:val="single" w:sz="6" w:space="8" w:color="CCCCCC"/>
                    <w:right w:val="single" w:sz="6" w:space="4" w:color="CCCCCC"/>
                  </w:divBdr>
                </w:div>
              </w:divsChild>
            </w:div>
          </w:divsChild>
        </w:div>
      </w:divsChild>
    </w:div>
    <w:div w:id="1459179233">
      <w:bodyDiv w:val="1"/>
      <w:marLeft w:val="0"/>
      <w:marRight w:val="0"/>
      <w:marTop w:val="0"/>
      <w:marBottom w:val="0"/>
      <w:divBdr>
        <w:top w:val="none" w:sz="0" w:space="0" w:color="auto"/>
        <w:left w:val="none" w:sz="0" w:space="0" w:color="auto"/>
        <w:bottom w:val="none" w:sz="0" w:space="0" w:color="auto"/>
        <w:right w:val="none" w:sz="0" w:space="0" w:color="auto"/>
      </w:divBdr>
      <w:divsChild>
        <w:div w:id="1932591488">
          <w:marLeft w:val="0"/>
          <w:marRight w:val="0"/>
          <w:marTop w:val="150"/>
          <w:marBottom w:val="150"/>
          <w:divBdr>
            <w:top w:val="none" w:sz="0" w:space="0" w:color="auto"/>
            <w:left w:val="none" w:sz="0" w:space="0" w:color="auto"/>
            <w:bottom w:val="single" w:sz="6" w:space="0" w:color="CCCCCC"/>
            <w:right w:val="none" w:sz="0" w:space="0" w:color="auto"/>
          </w:divBdr>
          <w:divsChild>
            <w:div w:id="999188507">
              <w:marLeft w:val="0"/>
              <w:marRight w:val="0"/>
              <w:marTop w:val="0"/>
              <w:marBottom w:val="0"/>
              <w:divBdr>
                <w:top w:val="none" w:sz="0" w:space="0" w:color="auto"/>
                <w:left w:val="none" w:sz="0" w:space="0" w:color="auto"/>
                <w:bottom w:val="none" w:sz="0" w:space="0" w:color="auto"/>
                <w:right w:val="none" w:sz="0" w:space="0" w:color="auto"/>
              </w:divBdr>
            </w:div>
          </w:divsChild>
        </w:div>
        <w:div w:id="1908414789">
          <w:marLeft w:val="0"/>
          <w:marRight w:val="0"/>
          <w:marTop w:val="0"/>
          <w:marBottom w:val="0"/>
          <w:divBdr>
            <w:top w:val="none" w:sz="0" w:space="0" w:color="auto"/>
            <w:left w:val="none" w:sz="0" w:space="0" w:color="auto"/>
            <w:bottom w:val="none" w:sz="0" w:space="0" w:color="auto"/>
            <w:right w:val="none" w:sz="0" w:space="0" w:color="auto"/>
          </w:divBdr>
          <w:divsChild>
            <w:div w:id="492648477">
              <w:marLeft w:val="75"/>
              <w:marRight w:val="150"/>
              <w:marTop w:val="45"/>
              <w:marBottom w:val="75"/>
              <w:divBdr>
                <w:top w:val="none" w:sz="0" w:space="0" w:color="auto"/>
                <w:left w:val="none" w:sz="0" w:space="0" w:color="auto"/>
                <w:bottom w:val="none" w:sz="0" w:space="0" w:color="auto"/>
                <w:right w:val="none" w:sz="0" w:space="0" w:color="auto"/>
              </w:divBdr>
            </w:div>
            <w:div w:id="960303746">
              <w:marLeft w:val="300"/>
              <w:marRight w:val="150"/>
              <w:marTop w:val="75"/>
              <w:marBottom w:val="0"/>
              <w:divBdr>
                <w:top w:val="none" w:sz="0" w:space="0" w:color="auto"/>
                <w:left w:val="none" w:sz="0" w:space="0" w:color="auto"/>
                <w:bottom w:val="none" w:sz="0" w:space="0" w:color="auto"/>
                <w:right w:val="none" w:sz="0" w:space="0" w:color="auto"/>
              </w:divBdr>
            </w:div>
            <w:div w:id="99035842">
              <w:marLeft w:val="300"/>
              <w:marRight w:val="150"/>
              <w:marTop w:val="75"/>
              <w:marBottom w:val="0"/>
              <w:divBdr>
                <w:top w:val="none" w:sz="0" w:space="0" w:color="auto"/>
                <w:left w:val="none" w:sz="0" w:space="0" w:color="auto"/>
                <w:bottom w:val="none" w:sz="0" w:space="0" w:color="auto"/>
                <w:right w:val="none" w:sz="0" w:space="0" w:color="auto"/>
              </w:divBdr>
            </w:div>
          </w:divsChild>
        </w:div>
        <w:div w:id="330522549">
          <w:marLeft w:val="0"/>
          <w:marRight w:val="0"/>
          <w:marTop w:val="75"/>
          <w:marBottom w:val="150"/>
          <w:divBdr>
            <w:top w:val="none" w:sz="0" w:space="0" w:color="auto"/>
            <w:left w:val="none" w:sz="0" w:space="0" w:color="auto"/>
            <w:bottom w:val="none" w:sz="0" w:space="0" w:color="auto"/>
            <w:right w:val="none" w:sz="0" w:space="0" w:color="auto"/>
          </w:divBdr>
          <w:divsChild>
            <w:div w:id="35935545">
              <w:marLeft w:val="0"/>
              <w:marRight w:val="0"/>
              <w:marTop w:val="45"/>
              <w:marBottom w:val="0"/>
              <w:divBdr>
                <w:top w:val="none" w:sz="0" w:space="0" w:color="auto"/>
                <w:left w:val="single" w:sz="48" w:space="0" w:color="FFFFFF"/>
                <w:bottom w:val="single" w:sz="48" w:space="0" w:color="FFFFFF"/>
                <w:right w:val="none" w:sz="0" w:space="0" w:color="auto"/>
              </w:divBdr>
              <w:divsChild>
                <w:div w:id="110364406">
                  <w:marLeft w:val="0"/>
                  <w:marRight w:val="0"/>
                  <w:marTop w:val="0"/>
                  <w:marBottom w:val="0"/>
                  <w:divBdr>
                    <w:top w:val="single" w:sz="6" w:space="4" w:color="CCCCCC"/>
                    <w:left w:val="single" w:sz="6" w:space="4" w:color="CCCCCC"/>
                    <w:bottom w:val="single" w:sz="6" w:space="8" w:color="CCCCCC"/>
                    <w:right w:val="single" w:sz="6" w:space="4" w:color="CCCCCC"/>
                  </w:divBdr>
                </w:div>
              </w:divsChild>
            </w:div>
          </w:divsChild>
        </w:div>
      </w:divsChild>
    </w:div>
    <w:div w:id="1497919528">
      <w:bodyDiv w:val="1"/>
      <w:marLeft w:val="0"/>
      <w:marRight w:val="0"/>
      <w:marTop w:val="0"/>
      <w:marBottom w:val="0"/>
      <w:divBdr>
        <w:top w:val="none" w:sz="0" w:space="0" w:color="auto"/>
        <w:left w:val="none" w:sz="0" w:space="0" w:color="auto"/>
        <w:bottom w:val="none" w:sz="0" w:space="0" w:color="auto"/>
        <w:right w:val="none" w:sz="0" w:space="0" w:color="auto"/>
      </w:divBdr>
      <w:divsChild>
        <w:div w:id="128327684">
          <w:marLeft w:val="0"/>
          <w:marRight w:val="0"/>
          <w:marTop w:val="150"/>
          <w:marBottom w:val="150"/>
          <w:divBdr>
            <w:top w:val="none" w:sz="0" w:space="0" w:color="auto"/>
            <w:left w:val="none" w:sz="0" w:space="0" w:color="auto"/>
            <w:bottom w:val="single" w:sz="6" w:space="0" w:color="CCCCCC"/>
            <w:right w:val="none" w:sz="0" w:space="0" w:color="auto"/>
          </w:divBdr>
          <w:divsChild>
            <w:div w:id="1634554142">
              <w:marLeft w:val="0"/>
              <w:marRight w:val="0"/>
              <w:marTop w:val="0"/>
              <w:marBottom w:val="0"/>
              <w:divBdr>
                <w:top w:val="none" w:sz="0" w:space="0" w:color="auto"/>
                <w:left w:val="none" w:sz="0" w:space="0" w:color="auto"/>
                <w:bottom w:val="none" w:sz="0" w:space="0" w:color="auto"/>
                <w:right w:val="none" w:sz="0" w:space="0" w:color="auto"/>
              </w:divBdr>
            </w:div>
          </w:divsChild>
        </w:div>
        <w:div w:id="659962443">
          <w:marLeft w:val="0"/>
          <w:marRight w:val="0"/>
          <w:marTop w:val="0"/>
          <w:marBottom w:val="0"/>
          <w:divBdr>
            <w:top w:val="none" w:sz="0" w:space="0" w:color="auto"/>
            <w:left w:val="none" w:sz="0" w:space="0" w:color="auto"/>
            <w:bottom w:val="none" w:sz="0" w:space="0" w:color="auto"/>
            <w:right w:val="none" w:sz="0" w:space="0" w:color="auto"/>
          </w:divBdr>
          <w:divsChild>
            <w:div w:id="1260213012">
              <w:marLeft w:val="75"/>
              <w:marRight w:val="150"/>
              <w:marTop w:val="45"/>
              <w:marBottom w:val="75"/>
              <w:divBdr>
                <w:top w:val="none" w:sz="0" w:space="0" w:color="auto"/>
                <w:left w:val="none" w:sz="0" w:space="0" w:color="auto"/>
                <w:bottom w:val="none" w:sz="0" w:space="0" w:color="auto"/>
                <w:right w:val="none" w:sz="0" w:space="0" w:color="auto"/>
              </w:divBdr>
            </w:div>
            <w:div w:id="1381327094">
              <w:marLeft w:val="300"/>
              <w:marRight w:val="150"/>
              <w:marTop w:val="75"/>
              <w:marBottom w:val="0"/>
              <w:divBdr>
                <w:top w:val="none" w:sz="0" w:space="0" w:color="auto"/>
                <w:left w:val="none" w:sz="0" w:space="0" w:color="auto"/>
                <w:bottom w:val="none" w:sz="0" w:space="0" w:color="auto"/>
                <w:right w:val="none" w:sz="0" w:space="0" w:color="auto"/>
              </w:divBdr>
            </w:div>
            <w:div w:id="1542206632">
              <w:marLeft w:val="300"/>
              <w:marRight w:val="150"/>
              <w:marTop w:val="75"/>
              <w:marBottom w:val="0"/>
              <w:divBdr>
                <w:top w:val="none" w:sz="0" w:space="0" w:color="auto"/>
                <w:left w:val="none" w:sz="0" w:space="0" w:color="auto"/>
                <w:bottom w:val="none" w:sz="0" w:space="0" w:color="auto"/>
                <w:right w:val="none" w:sz="0" w:space="0" w:color="auto"/>
              </w:divBdr>
            </w:div>
          </w:divsChild>
        </w:div>
        <w:div w:id="1806459336">
          <w:marLeft w:val="0"/>
          <w:marRight w:val="0"/>
          <w:marTop w:val="75"/>
          <w:marBottom w:val="150"/>
          <w:divBdr>
            <w:top w:val="none" w:sz="0" w:space="0" w:color="auto"/>
            <w:left w:val="none" w:sz="0" w:space="0" w:color="auto"/>
            <w:bottom w:val="none" w:sz="0" w:space="0" w:color="auto"/>
            <w:right w:val="none" w:sz="0" w:space="0" w:color="auto"/>
          </w:divBdr>
          <w:divsChild>
            <w:div w:id="1711953035">
              <w:marLeft w:val="0"/>
              <w:marRight w:val="0"/>
              <w:marTop w:val="45"/>
              <w:marBottom w:val="0"/>
              <w:divBdr>
                <w:top w:val="none" w:sz="0" w:space="0" w:color="auto"/>
                <w:left w:val="single" w:sz="48" w:space="0" w:color="FFFFFF"/>
                <w:bottom w:val="single" w:sz="48" w:space="0" w:color="FFFFFF"/>
                <w:right w:val="none" w:sz="0" w:space="0" w:color="auto"/>
              </w:divBdr>
              <w:divsChild>
                <w:div w:id="820316840">
                  <w:marLeft w:val="0"/>
                  <w:marRight w:val="0"/>
                  <w:marTop w:val="0"/>
                  <w:marBottom w:val="0"/>
                  <w:divBdr>
                    <w:top w:val="single" w:sz="6" w:space="4" w:color="CCCCCC"/>
                    <w:left w:val="single" w:sz="6" w:space="4" w:color="CCCCCC"/>
                    <w:bottom w:val="single" w:sz="6" w:space="8" w:color="CCCCCC"/>
                    <w:right w:val="single" w:sz="6" w:space="4" w:color="CCCCCC"/>
                  </w:divBdr>
                </w:div>
              </w:divsChild>
            </w:div>
          </w:divsChild>
        </w:div>
      </w:divsChild>
    </w:div>
    <w:div w:id="1774934811">
      <w:bodyDiv w:val="1"/>
      <w:marLeft w:val="0"/>
      <w:marRight w:val="0"/>
      <w:marTop w:val="0"/>
      <w:marBottom w:val="0"/>
      <w:divBdr>
        <w:top w:val="none" w:sz="0" w:space="0" w:color="auto"/>
        <w:left w:val="none" w:sz="0" w:space="0" w:color="auto"/>
        <w:bottom w:val="none" w:sz="0" w:space="0" w:color="auto"/>
        <w:right w:val="none" w:sz="0" w:space="0" w:color="auto"/>
      </w:divBdr>
      <w:divsChild>
        <w:div w:id="1935047029">
          <w:marLeft w:val="0"/>
          <w:marRight w:val="0"/>
          <w:marTop w:val="150"/>
          <w:marBottom w:val="150"/>
          <w:divBdr>
            <w:top w:val="none" w:sz="0" w:space="0" w:color="auto"/>
            <w:left w:val="none" w:sz="0" w:space="0" w:color="auto"/>
            <w:bottom w:val="single" w:sz="6" w:space="0" w:color="CCCCCC"/>
            <w:right w:val="none" w:sz="0" w:space="0" w:color="auto"/>
          </w:divBdr>
          <w:divsChild>
            <w:div w:id="2018461884">
              <w:marLeft w:val="0"/>
              <w:marRight w:val="0"/>
              <w:marTop w:val="0"/>
              <w:marBottom w:val="0"/>
              <w:divBdr>
                <w:top w:val="none" w:sz="0" w:space="0" w:color="auto"/>
                <w:left w:val="none" w:sz="0" w:space="0" w:color="auto"/>
                <w:bottom w:val="none" w:sz="0" w:space="0" w:color="auto"/>
                <w:right w:val="none" w:sz="0" w:space="0" w:color="auto"/>
              </w:divBdr>
            </w:div>
          </w:divsChild>
        </w:div>
        <w:div w:id="2143762162">
          <w:marLeft w:val="0"/>
          <w:marRight w:val="0"/>
          <w:marTop w:val="0"/>
          <w:marBottom w:val="0"/>
          <w:divBdr>
            <w:top w:val="none" w:sz="0" w:space="0" w:color="auto"/>
            <w:left w:val="none" w:sz="0" w:space="0" w:color="auto"/>
            <w:bottom w:val="none" w:sz="0" w:space="0" w:color="auto"/>
            <w:right w:val="none" w:sz="0" w:space="0" w:color="auto"/>
          </w:divBdr>
          <w:divsChild>
            <w:div w:id="427888300">
              <w:marLeft w:val="75"/>
              <w:marRight w:val="150"/>
              <w:marTop w:val="45"/>
              <w:marBottom w:val="75"/>
              <w:divBdr>
                <w:top w:val="none" w:sz="0" w:space="0" w:color="auto"/>
                <w:left w:val="none" w:sz="0" w:space="0" w:color="auto"/>
                <w:bottom w:val="none" w:sz="0" w:space="0" w:color="auto"/>
                <w:right w:val="none" w:sz="0" w:space="0" w:color="auto"/>
              </w:divBdr>
            </w:div>
            <w:div w:id="1527448616">
              <w:marLeft w:val="300"/>
              <w:marRight w:val="150"/>
              <w:marTop w:val="75"/>
              <w:marBottom w:val="0"/>
              <w:divBdr>
                <w:top w:val="none" w:sz="0" w:space="0" w:color="auto"/>
                <w:left w:val="none" w:sz="0" w:space="0" w:color="auto"/>
                <w:bottom w:val="none" w:sz="0" w:space="0" w:color="auto"/>
                <w:right w:val="none" w:sz="0" w:space="0" w:color="auto"/>
              </w:divBdr>
            </w:div>
            <w:div w:id="1926919379">
              <w:marLeft w:val="300"/>
              <w:marRight w:val="150"/>
              <w:marTop w:val="75"/>
              <w:marBottom w:val="0"/>
              <w:divBdr>
                <w:top w:val="none" w:sz="0" w:space="0" w:color="auto"/>
                <w:left w:val="none" w:sz="0" w:space="0" w:color="auto"/>
                <w:bottom w:val="none" w:sz="0" w:space="0" w:color="auto"/>
                <w:right w:val="none" w:sz="0" w:space="0" w:color="auto"/>
              </w:divBdr>
            </w:div>
          </w:divsChild>
        </w:div>
        <w:div w:id="1427531085">
          <w:marLeft w:val="0"/>
          <w:marRight w:val="0"/>
          <w:marTop w:val="75"/>
          <w:marBottom w:val="150"/>
          <w:divBdr>
            <w:top w:val="none" w:sz="0" w:space="0" w:color="auto"/>
            <w:left w:val="none" w:sz="0" w:space="0" w:color="auto"/>
            <w:bottom w:val="none" w:sz="0" w:space="0" w:color="auto"/>
            <w:right w:val="none" w:sz="0" w:space="0" w:color="auto"/>
          </w:divBdr>
          <w:divsChild>
            <w:div w:id="1926497032">
              <w:marLeft w:val="0"/>
              <w:marRight w:val="0"/>
              <w:marTop w:val="45"/>
              <w:marBottom w:val="0"/>
              <w:divBdr>
                <w:top w:val="none" w:sz="0" w:space="0" w:color="auto"/>
                <w:left w:val="single" w:sz="48" w:space="0" w:color="FFFFFF"/>
                <w:bottom w:val="single" w:sz="48" w:space="0" w:color="FFFFFF"/>
                <w:right w:val="none" w:sz="0" w:space="0" w:color="auto"/>
              </w:divBdr>
              <w:divsChild>
                <w:div w:id="2041272916">
                  <w:marLeft w:val="0"/>
                  <w:marRight w:val="0"/>
                  <w:marTop w:val="0"/>
                  <w:marBottom w:val="0"/>
                  <w:divBdr>
                    <w:top w:val="single" w:sz="6" w:space="4" w:color="CCCCCC"/>
                    <w:left w:val="single" w:sz="6" w:space="4" w:color="CCCCCC"/>
                    <w:bottom w:val="single" w:sz="6" w:space="8" w:color="CCCCCC"/>
                    <w:right w:val="single" w:sz="6" w:space="4" w:color="CCCCCC"/>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cgil.it/scuola/classi-di-concorso-necessari-chiarimenti-urgenti-al-decreto-ministeriale-che-ha-revisionato-i-requisiti.fl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lcgil.it/comunicati-stampa/flc/scuola-flc-cgil-anche-le-famiglie-bocciano-la-riforma-della-secondaria.flc" TargetMode="External"/><Relationship Id="rId12" Type="http://schemas.openxmlformats.org/officeDocument/2006/relationships/hyperlink" Target="https://www.flcgil.it/attualita/decreto-milleproroghe-emendamenti-presentati-flc-cgil.fl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ur.gov.it/documents/20182/0/Principali+dati+della+scuola+-+Focus+avvio+anno+scolastico+2023-2024.pdf" TargetMode="External"/><Relationship Id="rId11" Type="http://schemas.openxmlformats.org/officeDocument/2006/relationships/hyperlink" Target="https://www.flcgil.it/attualita/decreto-milleproroghe-2024-emendamenti-scuola-importanti-novita-precari.flc" TargetMode="External"/><Relationship Id="rId5" Type="http://schemas.openxmlformats.org/officeDocument/2006/relationships/hyperlink" Target="https://www.miur.gov.it/web/guest/-/iscrizioni-il-55-63-per-i-licei-trend-in-crescita-per-istituti-tecnici-e-professionali-br-filiera-4-2-valditara-interesse-significativo-delle-famiglie" TargetMode="External"/><Relationship Id="rId10" Type="http://schemas.openxmlformats.org/officeDocument/2006/relationships/hyperlink" Target="https://www.gazzettaufficiale.it/eli/id/2024/02/10/24A00733/sg" TargetMode="External"/><Relationship Id="rId4" Type="http://schemas.openxmlformats.org/officeDocument/2006/relationships/webSettings" Target="webSettings.xml"/><Relationship Id="rId9" Type="http://schemas.openxmlformats.org/officeDocument/2006/relationships/hyperlink" Target="https://www.flcgil.it/leggi-normative/documenti/decreti-ministeriali/decreto-ministeriale-255-del-22-dicembre-2023-revisione-e-aggiornamento-classi-di-concorso-docenti-scuola-secondaria-primo-e-secondo-grado.flc"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5</Pages>
  <Words>2124</Words>
  <Characters>12112</Characters>
  <Application>Microsoft Office Word</Application>
  <DocSecurity>0</DocSecurity>
  <Lines>100</Lines>
  <Paragraphs>28</Paragraphs>
  <ScaleCrop>false</ScaleCrop>
  <Company/>
  <LinksUpToDate>false</LinksUpToDate>
  <CharactersWithSpaces>14208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FLC Cgil Imperia</dc:creator>
  <cp:keywords/>
  <dc:description/>
  <cp:lastModifiedBy>FLC Cgil Imperia</cp:lastModifiedBy>
  <cp:revision>3</cp:revision>
  <dcterms:created xsi:type="dcterms:W3CDTF">2024-02-15T08:11:00Z</dcterms:created>
  <dcterms:modified xsi:type="dcterms:W3CDTF">2024-02-15T10:37:00Z</dcterms:modified>
</cp:coreProperties>
</file>