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E26DD" w14:textId="77777777" w:rsidR="003B711C" w:rsidRPr="003B711C" w:rsidRDefault="003B711C" w:rsidP="003B711C">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3B711C">
        <w:rPr>
          <w:rFonts w:ascii="Tahoma" w:eastAsia="Times New Roman" w:hAnsi="Tahoma" w:cs="Tahoma"/>
          <w:color w:val="DC3B33"/>
          <w:kern w:val="36"/>
          <w:sz w:val="45"/>
          <w:szCs w:val="45"/>
          <w:lang w:eastAsia="it-IT"/>
          <w14:ligatures w14:val="none"/>
        </w:rPr>
        <w:t>Certificazione informatica personale ATA: a breve una direttiva da parte di Accredia</w:t>
      </w:r>
    </w:p>
    <w:p w14:paraId="4845D350" w14:textId="77777777" w:rsidR="003B711C" w:rsidRPr="003B711C" w:rsidRDefault="003B711C" w:rsidP="003B711C">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3B711C">
        <w:rPr>
          <w:rFonts w:ascii="Arial" w:eastAsia="Times New Roman" w:hAnsi="Arial" w:cs="Arial"/>
          <w:color w:val="535353"/>
          <w:kern w:val="0"/>
          <w:sz w:val="27"/>
          <w:szCs w:val="27"/>
          <w:lang w:eastAsia="it-IT"/>
          <w14:ligatures w14:val="none"/>
        </w:rPr>
        <w:t>I sindacati saranno convocati per ricevere un'informativa sul tema</w:t>
      </w:r>
    </w:p>
    <w:p w14:paraId="39C87489" w14:textId="77777777" w:rsidR="003B711C" w:rsidRPr="003B711C" w:rsidRDefault="003B711C" w:rsidP="003B711C">
      <w:pPr>
        <w:shd w:val="clear" w:color="auto" w:fill="FFFFFF"/>
        <w:spacing w:after="0" w:line="240" w:lineRule="auto"/>
        <w:rPr>
          <w:rFonts w:ascii="Arial" w:eastAsia="Times New Roman" w:hAnsi="Arial" w:cs="Arial"/>
          <w:color w:val="4D4D4D"/>
          <w:kern w:val="0"/>
          <w:sz w:val="21"/>
          <w:szCs w:val="21"/>
          <w:lang w:eastAsia="it-IT"/>
          <w14:ligatures w14:val="none"/>
        </w:rPr>
      </w:pPr>
      <w:r w:rsidRPr="003B711C">
        <w:rPr>
          <w:rFonts w:ascii="Arial" w:eastAsia="Times New Roman" w:hAnsi="Arial" w:cs="Arial"/>
          <w:b/>
          <w:bCs/>
          <w:color w:val="4D4D4D"/>
          <w:kern w:val="0"/>
          <w:sz w:val="21"/>
          <w:szCs w:val="21"/>
          <w:lang w:eastAsia="it-IT"/>
          <w14:ligatures w14:val="none"/>
        </w:rPr>
        <w:t>14/03/2024</w:t>
      </w:r>
    </w:p>
    <w:p w14:paraId="3AD5EADC" w14:textId="77777777" w:rsidR="003B711C" w:rsidRDefault="003B711C" w:rsidP="003B711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78817C8D" w14:textId="5B61325C" w:rsidR="003B711C" w:rsidRPr="003B711C" w:rsidRDefault="003B711C" w:rsidP="003B711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B711C">
        <w:rPr>
          <w:rFonts w:ascii="Arial" w:eastAsia="Times New Roman" w:hAnsi="Arial" w:cs="Arial"/>
          <w:color w:val="000000"/>
          <w:kern w:val="0"/>
          <w:sz w:val="21"/>
          <w:szCs w:val="21"/>
          <w:lang w:eastAsia="it-IT"/>
          <w14:ligatures w14:val="none"/>
        </w:rPr>
        <w:t>A margine dell’incontro sulle progressioni di area del personale ATA svoltosi il 14 marzo 2024 presso il Ministero dell’Istruzione, l’Amministrazione ha informato i sindacati firmatari del CCNL 2019-21 di aver incontrato gli esponenti di</w:t>
      </w:r>
      <w:r w:rsidRPr="003B711C">
        <w:rPr>
          <w:rFonts w:ascii="Arial" w:eastAsia="Times New Roman" w:hAnsi="Arial" w:cs="Arial"/>
          <w:b/>
          <w:bCs/>
          <w:color w:val="000000"/>
          <w:kern w:val="0"/>
          <w:sz w:val="21"/>
          <w:szCs w:val="21"/>
          <w:lang w:eastAsia="it-IT"/>
          <w14:ligatures w14:val="none"/>
        </w:rPr>
        <w:t> Accredia</w:t>
      </w:r>
      <w:r w:rsidRPr="003B711C">
        <w:rPr>
          <w:rFonts w:ascii="Arial" w:eastAsia="Times New Roman" w:hAnsi="Arial" w:cs="Arial"/>
          <w:color w:val="000000"/>
          <w:kern w:val="0"/>
          <w:sz w:val="21"/>
          <w:szCs w:val="21"/>
          <w:lang w:eastAsia="it-IT"/>
          <w14:ligatures w14:val="none"/>
        </w:rPr>
        <w:t>, l’</w:t>
      </w:r>
      <w:r w:rsidRPr="003B711C">
        <w:rPr>
          <w:rFonts w:ascii="Arial" w:eastAsia="Times New Roman" w:hAnsi="Arial" w:cs="Arial"/>
          <w:b/>
          <w:bCs/>
          <w:color w:val="000000"/>
          <w:kern w:val="0"/>
          <w:sz w:val="21"/>
          <w:szCs w:val="21"/>
          <w:lang w:eastAsia="it-IT"/>
          <w14:ligatures w14:val="none"/>
        </w:rPr>
        <w:t>ente nazionale</w:t>
      </w:r>
      <w:r w:rsidRPr="003B711C">
        <w:rPr>
          <w:rFonts w:ascii="Arial" w:eastAsia="Times New Roman" w:hAnsi="Arial" w:cs="Arial"/>
          <w:color w:val="000000"/>
          <w:kern w:val="0"/>
          <w:sz w:val="21"/>
          <w:szCs w:val="21"/>
          <w:lang w:eastAsia="it-IT"/>
          <w14:ligatures w14:val="none"/>
        </w:rPr>
        <w:t> che cura le </w:t>
      </w:r>
      <w:r w:rsidRPr="003B711C">
        <w:rPr>
          <w:rFonts w:ascii="Arial" w:eastAsia="Times New Roman" w:hAnsi="Arial" w:cs="Arial"/>
          <w:b/>
          <w:bCs/>
          <w:color w:val="000000"/>
          <w:kern w:val="0"/>
          <w:sz w:val="21"/>
          <w:szCs w:val="21"/>
          <w:lang w:eastAsia="it-IT"/>
          <w14:ligatures w14:val="none"/>
        </w:rPr>
        <w:t>certificazioni informatiche</w:t>
      </w:r>
      <w:r w:rsidRPr="003B711C">
        <w:rPr>
          <w:rFonts w:ascii="Arial" w:eastAsia="Times New Roman" w:hAnsi="Arial" w:cs="Arial"/>
          <w:color w:val="000000"/>
          <w:kern w:val="0"/>
          <w:sz w:val="21"/>
          <w:szCs w:val="21"/>
          <w:lang w:eastAsia="it-IT"/>
          <w14:ligatures w14:val="none"/>
        </w:rPr>
        <w:t> per conto del Governo, sulla tematica della certificazione informatica del personale ATA.</w:t>
      </w:r>
    </w:p>
    <w:p w14:paraId="1A943080" w14:textId="77777777" w:rsidR="003B711C" w:rsidRPr="003B711C" w:rsidRDefault="003B711C" w:rsidP="003B711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B711C">
        <w:rPr>
          <w:rFonts w:ascii="Arial" w:eastAsia="Times New Roman" w:hAnsi="Arial" w:cs="Arial"/>
          <w:color w:val="000000"/>
          <w:kern w:val="0"/>
          <w:sz w:val="21"/>
          <w:szCs w:val="21"/>
          <w:lang w:eastAsia="it-IT"/>
          <w14:ligatures w14:val="none"/>
        </w:rPr>
        <w:t>Nell’incontro sono stati posti all’attenzione di Accredia i seguenti argomenti: quali sono i contenuti dei tre livelli di certificazione ai quali occorre fare riferimento; quale livello minimo occorre determinare per il personale ATA; quali le modalità da seguire da parte degli enti certificatori per il rilascio della certificazione anche per la definizione del costo a carico degli interessati.</w:t>
      </w:r>
    </w:p>
    <w:p w14:paraId="42155AF8" w14:textId="77777777" w:rsidR="003B711C" w:rsidRPr="003B711C" w:rsidRDefault="003B711C" w:rsidP="003B711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B711C">
        <w:rPr>
          <w:rFonts w:ascii="Arial" w:eastAsia="Times New Roman" w:hAnsi="Arial" w:cs="Arial"/>
          <w:color w:val="000000"/>
          <w:kern w:val="0"/>
          <w:sz w:val="21"/>
          <w:szCs w:val="21"/>
          <w:lang w:eastAsia="it-IT"/>
          <w14:ligatures w14:val="none"/>
        </w:rPr>
        <w:t>La </w:t>
      </w:r>
      <w:r w:rsidRPr="003B711C">
        <w:rPr>
          <w:rFonts w:ascii="Arial" w:eastAsia="Times New Roman" w:hAnsi="Arial" w:cs="Arial"/>
          <w:b/>
          <w:bCs/>
          <w:color w:val="000000"/>
          <w:kern w:val="0"/>
          <w:sz w:val="21"/>
          <w:szCs w:val="21"/>
          <w:lang w:eastAsia="it-IT"/>
          <w14:ligatures w14:val="none"/>
        </w:rPr>
        <w:t>FLC CCGIL</w:t>
      </w:r>
      <w:r w:rsidRPr="003B711C">
        <w:rPr>
          <w:rFonts w:ascii="Arial" w:eastAsia="Times New Roman" w:hAnsi="Arial" w:cs="Arial"/>
          <w:color w:val="000000"/>
          <w:kern w:val="0"/>
          <w:sz w:val="21"/>
          <w:szCs w:val="21"/>
          <w:lang w:eastAsia="it-IT"/>
          <w14:ligatures w14:val="none"/>
        </w:rPr>
        <w:t> che </w:t>
      </w:r>
      <w:r w:rsidRPr="003B711C">
        <w:rPr>
          <w:rFonts w:ascii="Arial" w:eastAsia="Times New Roman" w:hAnsi="Arial" w:cs="Arial"/>
          <w:b/>
          <w:bCs/>
          <w:color w:val="000000"/>
          <w:kern w:val="0"/>
          <w:sz w:val="21"/>
          <w:szCs w:val="21"/>
          <w:lang w:eastAsia="it-IT"/>
          <w14:ligatures w14:val="none"/>
        </w:rPr>
        <w:t>segue da vicino la questione</w:t>
      </w:r>
      <w:r w:rsidRPr="003B711C">
        <w:rPr>
          <w:rFonts w:ascii="Arial" w:eastAsia="Times New Roman" w:hAnsi="Arial" w:cs="Arial"/>
          <w:color w:val="000000"/>
          <w:kern w:val="0"/>
          <w:sz w:val="21"/>
          <w:szCs w:val="21"/>
          <w:lang w:eastAsia="it-IT"/>
          <w14:ligatures w14:val="none"/>
        </w:rPr>
        <w:t> sosterrà la posizione di una </w:t>
      </w:r>
      <w:r w:rsidRPr="003B711C">
        <w:rPr>
          <w:rFonts w:ascii="Arial" w:eastAsia="Times New Roman" w:hAnsi="Arial" w:cs="Arial"/>
          <w:b/>
          <w:bCs/>
          <w:color w:val="000000"/>
          <w:kern w:val="0"/>
          <w:sz w:val="21"/>
          <w:szCs w:val="21"/>
          <w:lang w:eastAsia="it-IT"/>
          <w14:ligatures w14:val="none"/>
        </w:rPr>
        <w:t>rapida definizione delle procedure</w:t>
      </w:r>
      <w:r w:rsidRPr="003B711C">
        <w:rPr>
          <w:rFonts w:ascii="Arial" w:eastAsia="Times New Roman" w:hAnsi="Arial" w:cs="Arial"/>
          <w:color w:val="000000"/>
          <w:kern w:val="0"/>
          <w:sz w:val="21"/>
          <w:szCs w:val="21"/>
          <w:lang w:eastAsia="it-IT"/>
          <w14:ligatures w14:val="none"/>
        </w:rPr>
        <w:t> che debbono essere le più semplificate possibili per rendere operative le clausole contrattuali a beneficio degli interessati.</w:t>
      </w:r>
    </w:p>
    <w:p w14:paraId="6ACB2315" w14:textId="77777777" w:rsidR="003B711C" w:rsidRPr="003B711C" w:rsidRDefault="003B711C" w:rsidP="003B711C">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3B711C">
        <w:rPr>
          <w:rFonts w:ascii="Tahoma" w:eastAsia="Times New Roman" w:hAnsi="Tahoma" w:cs="Tahoma"/>
          <w:color w:val="DC3B33"/>
          <w:kern w:val="36"/>
          <w:sz w:val="45"/>
          <w:szCs w:val="45"/>
          <w:lang w:eastAsia="it-IT"/>
          <w14:ligatures w14:val="none"/>
        </w:rPr>
        <w:t>Scuola: formazione in servizio incentivata, incontro ministero/sindacati</w:t>
      </w:r>
    </w:p>
    <w:p w14:paraId="0E0DBDF7" w14:textId="77777777" w:rsidR="003B711C" w:rsidRPr="003B711C" w:rsidRDefault="003B711C" w:rsidP="003B711C">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3B711C">
        <w:rPr>
          <w:rFonts w:ascii="Arial" w:eastAsia="Times New Roman" w:hAnsi="Arial" w:cs="Arial"/>
          <w:color w:val="535353"/>
          <w:kern w:val="0"/>
          <w:sz w:val="27"/>
          <w:szCs w:val="27"/>
          <w:lang w:eastAsia="it-IT"/>
          <w14:ligatures w14:val="none"/>
        </w:rPr>
        <w:t>La FLC CGIL ricorda le prerogative contrattuali sulla materia e richiede una modifica profonda al DL sui percorsi di formazione in servizio incentivata. Il Ministero aggiorna il confronto</w:t>
      </w:r>
    </w:p>
    <w:p w14:paraId="403D5E69" w14:textId="77777777" w:rsidR="003B711C" w:rsidRPr="003B711C" w:rsidRDefault="003B711C" w:rsidP="003B711C">
      <w:pPr>
        <w:shd w:val="clear" w:color="auto" w:fill="FFFFFF"/>
        <w:spacing w:after="0" w:line="240" w:lineRule="auto"/>
        <w:rPr>
          <w:rFonts w:ascii="Arial" w:eastAsia="Times New Roman" w:hAnsi="Arial" w:cs="Arial"/>
          <w:color w:val="4D4D4D"/>
          <w:kern w:val="0"/>
          <w:sz w:val="21"/>
          <w:szCs w:val="21"/>
          <w:lang w:eastAsia="it-IT"/>
          <w14:ligatures w14:val="none"/>
        </w:rPr>
      </w:pPr>
      <w:r w:rsidRPr="003B711C">
        <w:rPr>
          <w:rFonts w:ascii="Arial" w:eastAsia="Times New Roman" w:hAnsi="Arial" w:cs="Arial"/>
          <w:b/>
          <w:bCs/>
          <w:color w:val="4D4D4D"/>
          <w:kern w:val="0"/>
          <w:sz w:val="21"/>
          <w:szCs w:val="21"/>
          <w:lang w:eastAsia="it-IT"/>
          <w14:ligatures w14:val="none"/>
        </w:rPr>
        <w:t>11/03/2024</w:t>
      </w:r>
    </w:p>
    <w:p w14:paraId="75B9573A" w14:textId="77777777" w:rsidR="003B711C" w:rsidRDefault="003B711C" w:rsidP="003B711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7844AC51" w14:textId="0E0BCCB8" w:rsidR="003B711C" w:rsidRPr="003B711C" w:rsidRDefault="003B711C" w:rsidP="003B711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B711C">
        <w:rPr>
          <w:rFonts w:ascii="Arial" w:eastAsia="Times New Roman" w:hAnsi="Arial" w:cs="Arial"/>
          <w:color w:val="000000"/>
          <w:kern w:val="0"/>
          <w:sz w:val="21"/>
          <w:szCs w:val="21"/>
          <w:lang w:eastAsia="it-IT"/>
          <w14:ligatures w14:val="none"/>
        </w:rPr>
        <w:t>A seguito dell’emanazione del </w:t>
      </w:r>
      <w:hyperlink r:id="rId5" w:tgtFrame="_blank" w:history="1">
        <w:r w:rsidRPr="003B711C">
          <w:rPr>
            <w:rFonts w:ascii="Arial" w:eastAsia="Times New Roman" w:hAnsi="Arial" w:cs="Arial"/>
            <w:color w:val="005EB3"/>
            <w:kern w:val="0"/>
            <w:sz w:val="21"/>
            <w:szCs w:val="21"/>
            <w:u w:val="single"/>
            <w:lang w:eastAsia="it-IT"/>
            <w14:ligatures w14:val="none"/>
          </w:rPr>
          <w:t>Decreto Interministeriale del 29 dicembre 2023</w:t>
        </w:r>
      </w:hyperlink>
      <w:r w:rsidRPr="003B711C">
        <w:rPr>
          <w:rFonts w:ascii="Arial" w:eastAsia="Times New Roman" w:hAnsi="Arial" w:cs="Arial"/>
          <w:color w:val="000000"/>
          <w:kern w:val="0"/>
          <w:sz w:val="21"/>
          <w:szCs w:val="21"/>
          <w:lang w:eastAsia="it-IT"/>
          <w14:ligatures w14:val="none"/>
        </w:rPr>
        <w:t> pubblicato in GU sabato 9 marzo 2024, si è svolto lunedì 11 marzo 2024 l’incontro MIM/sindacati sull’ipotesi di contratto integrativo nazionale relativo alle modalità di partecipazione ai percorsi di formazione in servizio incentivata del personale docente e delle figure di sistema per l’anno scolastico 2023/2024.</w:t>
      </w:r>
    </w:p>
    <w:p w14:paraId="7D9390B7" w14:textId="77777777" w:rsidR="003B711C" w:rsidRPr="003B711C" w:rsidRDefault="003B711C" w:rsidP="003B711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B711C">
        <w:rPr>
          <w:rFonts w:ascii="Arial" w:eastAsia="Times New Roman" w:hAnsi="Arial" w:cs="Arial"/>
          <w:color w:val="000000"/>
          <w:kern w:val="0"/>
          <w:sz w:val="21"/>
          <w:szCs w:val="21"/>
          <w:lang w:eastAsia="it-IT"/>
          <w14:ligatures w14:val="none"/>
        </w:rPr>
        <w:t>Il Ministero ha proposto, al fine di implementare la formazione in servizio incentivata, un percorso per noi inaccettabile, dal momento che esso ricalca pedissequamente termini e modalità stabiliti dal </w:t>
      </w:r>
      <w:hyperlink r:id="rId6" w:tgtFrame="_blank" w:history="1">
        <w:r w:rsidRPr="003B711C">
          <w:rPr>
            <w:rFonts w:ascii="Arial" w:eastAsia="Times New Roman" w:hAnsi="Arial" w:cs="Arial"/>
            <w:color w:val="005EB3"/>
            <w:kern w:val="0"/>
            <w:sz w:val="21"/>
            <w:szCs w:val="21"/>
            <w:u w:val="single"/>
            <w:lang w:eastAsia="it-IT"/>
            <w14:ligatures w14:val="none"/>
          </w:rPr>
          <w:t>DL 36/2022</w:t>
        </w:r>
      </w:hyperlink>
      <w:r w:rsidRPr="003B711C">
        <w:rPr>
          <w:rFonts w:ascii="Arial" w:eastAsia="Times New Roman" w:hAnsi="Arial" w:cs="Arial"/>
          <w:color w:val="000000"/>
          <w:kern w:val="0"/>
          <w:sz w:val="21"/>
          <w:szCs w:val="21"/>
          <w:lang w:eastAsia="it-IT"/>
          <w14:ligatures w14:val="none"/>
        </w:rPr>
        <w:t> quando la materia deve essere integralmente trattata dal CCNL.</w:t>
      </w:r>
    </w:p>
    <w:p w14:paraId="2123AEE6" w14:textId="77777777" w:rsidR="003B711C" w:rsidRPr="003B711C" w:rsidRDefault="003B711C" w:rsidP="003B711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B711C">
        <w:rPr>
          <w:rFonts w:ascii="Arial" w:eastAsia="Times New Roman" w:hAnsi="Arial" w:cs="Arial"/>
          <w:color w:val="000000"/>
          <w:kern w:val="0"/>
          <w:sz w:val="21"/>
          <w:szCs w:val="21"/>
          <w:lang w:eastAsia="it-IT"/>
          <w14:ligatures w14:val="none"/>
        </w:rPr>
        <w:t>Ora, il Ministero propone di avviare la formazione dei docenti che volontariamente vogliono iniziare un iter che durerà 9 anni al termine del quale si otterrà una gratifica salariale, ma lo farebbe a scapito del contratto e a scapito delle risorse del FMOF che si dovrebbero far carico di retribuire con 200-400 euro lordi le attività di formazione svolte dai docenti di primaria/infanzia e secondaria. In modo particolare la FLC CGIL, nel ribadire la netta contrarietà ai contenuti del </w:t>
      </w:r>
      <w:hyperlink r:id="rId7" w:tgtFrame="_blank" w:history="1">
        <w:r w:rsidRPr="003B711C">
          <w:rPr>
            <w:rFonts w:ascii="Arial" w:eastAsia="Times New Roman" w:hAnsi="Arial" w:cs="Arial"/>
            <w:color w:val="005EB3"/>
            <w:kern w:val="0"/>
            <w:sz w:val="21"/>
            <w:szCs w:val="21"/>
            <w:u w:val="single"/>
            <w:lang w:eastAsia="it-IT"/>
            <w14:ligatures w14:val="none"/>
          </w:rPr>
          <w:t>DL 36/2022</w:t>
        </w:r>
      </w:hyperlink>
      <w:r w:rsidRPr="003B711C">
        <w:rPr>
          <w:rFonts w:ascii="Arial" w:eastAsia="Times New Roman" w:hAnsi="Arial" w:cs="Arial"/>
          <w:color w:val="000000"/>
          <w:kern w:val="0"/>
          <w:sz w:val="21"/>
          <w:szCs w:val="21"/>
          <w:lang w:eastAsia="it-IT"/>
          <w14:ligatures w14:val="none"/>
        </w:rPr>
        <w:t>, in quanto si appropria di materie di esclusiva pertinenza contrattuale, ha sottolineato che l’attivazione dei meccanismi formativi previsti dalla norma, soprattutto se connessi alla progressione di carriera, vanno solo contrattualmente regolati; e non si può, come vorrebbe fare il Ministero, trattarli addirittura con un contratto integrativo scavalcando il tracciato regolatorio che appartiene esclusivamente al CCNL.</w:t>
      </w:r>
    </w:p>
    <w:p w14:paraId="70F96F1D" w14:textId="77777777" w:rsidR="003B711C" w:rsidRPr="003B711C" w:rsidRDefault="003B711C" w:rsidP="003B711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B711C">
        <w:rPr>
          <w:rFonts w:ascii="Arial" w:eastAsia="Times New Roman" w:hAnsi="Arial" w:cs="Arial"/>
          <w:color w:val="000000"/>
          <w:kern w:val="0"/>
          <w:sz w:val="21"/>
          <w:szCs w:val="21"/>
          <w:lang w:eastAsia="it-IT"/>
          <w14:ligatures w14:val="none"/>
        </w:rPr>
        <w:t>Se il Ministero vuole intraprendere questo percorso deve appostare risorse dedicate a tale nuova attività e non prosciugare le risorse del FMOF per il quale non sono stanziate risorse aggiuntive.</w:t>
      </w:r>
    </w:p>
    <w:p w14:paraId="2C28A944" w14:textId="77777777" w:rsidR="003B711C" w:rsidRPr="003B711C" w:rsidRDefault="003B711C" w:rsidP="003B711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B711C">
        <w:rPr>
          <w:rFonts w:ascii="Arial" w:eastAsia="Times New Roman" w:hAnsi="Arial" w:cs="Arial"/>
          <w:color w:val="000000"/>
          <w:kern w:val="0"/>
          <w:sz w:val="21"/>
          <w:szCs w:val="21"/>
          <w:lang w:eastAsia="it-IT"/>
          <w14:ligatures w14:val="none"/>
        </w:rPr>
        <w:t>Per questo la FLC ha chiesto la cancellazione del docente stabilmente incentivato come delineato dal </w:t>
      </w:r>
      <w:hyperlink r:id="rId8" w:tgtFrame="_blank" w:history="1">
        <w:r w:rsidRPr="003B711C">
          <w:rPr>
            <w:rFonts w:ascii="Arial" w:eastAsia="Times New Roman" w:hAnsi="Arial" w:cs="Arial"/>
            <w:color w:val="005EB3"/>
            <w:kern w:val="0"/>
            <w:sz w:val="21"/>
            <w:szCs w:val="21"/>
            <w:u w:val="single"/>
            <w:lang w:eastAsia="it-IT"/>
            <w14:ligatures w14:val="none"/>
          </w:rPr>
          <w:t>DL 36/2022</w:t>
        </w:r>
      </w:hyperlink>
      <w:r w:rsidRPr="003B711C">
        <w:rPr>
          <w:rFonts w:ascii="Arial" w:eastAsia="Times New Roman" w:hAnsi="Arial" w:cs="Arial"/>
          <w:color w:val="000000"/>
          <w:kern w:val="0"/>
          <w:sz w:val="21"/>
          <w:szCs w:val="21"/>
          <w:lang w:eastAsia="it-IT"/>
          <w14:ligatures w14:val="none"/>
        </w:rPr>
        <w:t xml:space="preserve">, apportando i necessari correttivi in sede normativa e la devoluzione della materia al CCNL. </w:t>
      </w:r>
      <w:r w:rsidRPr="003B711C">
        <w:rPr>
          <w:rFonts w:ascii="Arial" w:eastAsia="Times New Roman" w:hAnsi="Arial" w:cs="Arial"/>
          <w:color w:val="000000"/>
          <w:kern w:val="0"/>
          <w:sz w:val="21"/>
          <w:szCs w:val="21"/>
          <w:lang w:eastAsia="it-IT"/>
          <w14:ligatures w14:val="none"/>
        </w:rPr>
        <w:lastRenderedPageBreak/>
        <w:t>Infatti non può essere ignorato quanto previsto dal CCNL firmato il 18 gennaio scorso rispetto al pagamento delle ore di formazione effettuate in eccedenza rispetto alle 80 ore complessive previste per le attività funzionali all’insegnamento che l’attuale consistenza del FOMF non può sostenere. Sono necessarie quindi specifiche risorse aggiuntive sia per la valorizzazione professionale dei docenti sia per la retribuzione delle ore di formazione.</w:t>
      </w:r>
    </w:p>
    <w:p w14:paraId="080DF4F5" w14:textId="61261BF7" w:rsidR="003B711C" w:rsidRPr="003B711C" w:rsidRDefault="003B711C" w:rsidP="003B711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B711C">
        <w:rPr>
          <w:rFonts w:ascii="Arial" w:eastAsia="Times New Roman" w:hAnsi="Arial" w:cs="Arial"/>
          <w:color w:val="000000"/>
          <w:kern w:val="0"/>
          <w:sz w:val="21"/>
          <w:szCs w:val="21"/>
          <w:lang w:eastAsia="it-IT"/>
          <w14:ligatures w14:val="none"/>
        </w:rPr>
        <w:t>Al termine della riunione l’amministrazione anche alla luce delle obiezioni e delle criticità evidenziate dal sindacato si è riservata di fare ulteriori approfondimenti. L’incontro è stato aggiornato.</w:t>
      </w:r>
    </w:p>
    <w:p w14:paraId="725AAFDF" w14:textId="07A60B58" w:rsidR="003B711C" w:rsidRPr="003B711C" w:rsidRDefault="003B711C" w:rsidP="003B711C">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3B711C">
        <w:rPr>
          <w:rFonts w:ascii="Tahoma" w:eastAsia="Times New Roman" w:hAnsi="Tahoma" w:cs="Tahoma"/>
          <w:color w:val="DC3B33"/>
          <w:kern w:val="36"/>
          <w:sz w:val="45"/>
          <w:szCs w:val="45"/>
          <w:lang w:eastAsia="it-IT"/>
          <w14:ligatures w14:val="none"/>
        </w:rPr>
        <w:t>Confronto sulla progressione all’Area dei funzionari ed elevata qualificazione, accolte molte delle istanze avanzate dalla FLC CGIL</w:t>
      </w:r>
    </w:p>
    <w:p w14:paraId="1C1A0077" w14:textId="77777777" w:rsidR="003B711C" w:rsidRPr="003B711C" w:rsidRDefault="003B711C" w:rsidP="003B711C">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3B711C">
        <w:rPr>
          <w:rFonts w:ascii="Arial" w:eastAsia="Times New Roman" w:hAnsi="Arial" w:cs="Arial"/>
          <w:color w:val="535353"/>
          <w:kern w:val="0"/>
          <w:sz w:val="27"/>
          <w:szCs w:val="27"/>
          <w:lang w:eastAsia="it-IT"/>
          <w14:ligatures w14:val="none"/>
        </w:rPr>
        <w:t>Necessari ulteriori miglioramenti. Le graduatorie devono avere carattere permanente. La prossima settimana proseguirà il confronto sulle posizioni economiche.</w:t>
      </w:r>
    </w:p>
    <w:p w14:paraId="2C9091D9" w14:textId="77777777" w:rsidR="003B711C" w:rsidRPr="003B711C" w:rsidRDefault="003B711C" w:rsidP="003B711C">
      <w:pPr>
        <w:shd w:val="clear" w:color="auto" w:fill="FFFFFF"/>
        <w:spacing w:after="0" w:line="240" w:lineRule="auto"/>
        <w:rPr>
          <w:rFonts w:ascii="Arial" w:eastAsia="Times New Roman" w:hAnsi="Arial" w:cs="Arial"/>
          <w:color w:val="4D4D4D"/>
          <w:kern w:val="0"/>
          <w:sz w:val="21"/>
          <w:szCs w:val="21"/>
          <w:lang w:eastAsia="it-IT"/>
          <w14:ligatures w14:val="none"/>
        </w:rPr>
      </w:pPr>
      <w:r w:rsidRPr="003B711C">
        <w:rPr>
          <w:rFonts w:ascii="Arial" w:eastAsia="Times New Roman" w:hAnsi="Arial" w:cs="Arial"/>
          <w:b/>
          <w:bCs/>
          <w:color w:val="4D4D4D"/>
          <w:kern w:val="0"/>
          <w:sz w:val="21"/>
          <w:szCs w:val="21"/>
          <w:lang w:eastAsia="it-IT"/>
          <w14:ligatures w14:val="none"/>
        </w:rPr>
        <w:t>14/03/2024</w:t>
      </w:r>
    </w:p>
    <w:p w14:paraId="6AF05C32" w14:textId="77777777" w:rsidR="003B711C" w:rsidRDefault="003B711C" w:rsidP="003B711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38F3A7DF" w14:textId="19303F12" w:rsidR="003B711C" w:rsidRPr="003B711C" w:rsidRDefault="003B711C" w:rsidP="003B711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B711C">
        <w:rPr>
          <w:rFonts w:ascii="Arial" w:eastAsia="Times New Roman" w:hAnsi="Arial" w:cs="Arial"/>
          <w:color w:val="000000"/>
          <w:kern w:val="0"/>
          <w:sz w:val="21"/>
          <w:szCs w:val="21"/>
          <w:lang w:eastAsia="it-IT"/>
          <w14:ligatures w14:val="none"/>
        </w:rPr>
        <w:t>Si è svolto oggi 14 marzo 2024 alle 14.30 presso il Ministero dell’istruzione un incontro di confronto fra l’Amministrazione e le Organizzazioni sindacali firmatarie del CCNL 18 gennaio 2024 del Comparto Istruzione e Ricerca, avente ad oggetto la procedura valutativa per la progressione degli Assistenti Amministrativi facenti funzione di DSGA, con almeno tre anni di servizio nella medesima funzione, all’Area dei funzionari e delle Elevate qualificazioni.</w:t>
      </w:r>
    </w:p>
    <w:p w14:paraId="767BF997" w14:textId="77777777" w:rsidR="003B711C" w:rsidRPr="003B711C" w:rsidRDefault="003B711C" w:rsidP="003B711C">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3B711C">
        <w:rPr>
          <w:rFonts w:ascii="Arial" w:eastAsia="Times New Roman" w:hAnsi="Arial" w:cs="Arial"/>
          <w:b/>
          <w:bCs/>
          <w:color w:val="535353"/>
          <w:kern w:val="0"/>
          <w:sz w:val="27"/>
          <w:szCs w:val="27"/>
          <w:lang w:eastAsia="it-IT"/>
          <w14:ligatures w14:val="none"/>
        </w:rPr>
        <w:t>L’illustrazione dell’Amministrazione</w:t>
      </w:r>
    </w:p>
    <w:p w14:paraId="0D22FF0F" w14:textId="77777777" w:rsidR="003B711C" w:rsidRPr="003B711C" w:rsidRDefault="003B711C" w:rsidP="003B711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B711C">
        <w:rPr>
          <w:rFonts w:ascii="Arial" w:eastAsia="Times New Roman" w:hAnsi="Arial" w:cs="Arial"/>
          <w:color w:val="000000"/>
          <w:kern w:val="0"/>
          <w:sz w:val="21"/>
          <w:szCs w:val="21"/>
          <w:lang w:eastAsia="it-IT"/>
          <w14:ligatures w14:val="none"/>
        </w:rPr>
        <w:t>L’Amministrazione, rappresentata dal Capo Dipartimento degli ordinamenti, Dott.ssa Carmela Palumbo, in questo </w:t>
      </w:r>
      <w:hyperlink r:id="rId9" w:tgtFrame="_blank" w:history="1">
        <w:r w:rsidRPr="003B711C">
          <w:rPr>
            <w:rFonts w:ascii="Arial" w:eastAsia="Times New Roman" w:hAnsi="Arial" w:cs="Arial"/>
            <w:color w:val="005EB3"/>
            <w:kern w:val="0"/>
            <w:sz w:val="21"/>
            <w:szCs w:val="21"/>
            <w:lang w:eastAsia="it-IT"/>
            <w14:ligatures w14:val="none"/>
          </w:rPr>
          <w:t>secondo confronto</w:t>
        </w:r>
      </w:hyperlink>
      <w:r w:rsidRPr="003B711C">
        <w:rPr>
          <w:rFonts w:ascii="Arial" w:eastAsia="Times New Roman" w:hAnsi="Arial" w:cs="Arial"/>
          <w:color w:val="000000"/>
          <w:kern w:val="0"/>
          <w:sz w:val="21"/>
          <w:szCs w:val="21"/>
          <w:lang w:eastAsia="it-IT"/>
          <w14:ligatures w14:val="none"/>
        </w:rPr>
        <w:t>, ha illustrato i termini della bozza di Decreto Ministeriale  contenente la procedura valutativa predisposta che è basata sui seguenti punti:</w:t>
      </w:r>
    </w:p>
    <w:p w14:paraId="129F96D4" w14:textId="77777777" w:rsidR="003B711C" w:rsidRPr="003B711C" w:rsidRDefault="003B711C" w:rsidP="003B711C">
      <w:pPr>
        <w:numPr>
          <w:ilvl w:val="0"/>
          <w:numId w:val="2"/>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3B711C">
        <w:rPr>
          <w:rFonts w:ascii="Arial" w:eastAsia="Times New Roman" w:hAnsi="Arial" w:cs="Arial"/>
          <w:color w:val="000000"/>
          <w:kern w:val="0"/>
          <w:sz w:val="23"/>
          <w:szCs w:val="23"/>
          <w:lang w:eastAsia="it-IT"/>
          <w14:ligatures w14:val="none"/>
        </w:rPr>
        <w:t>le procedure si svolgono su base regionale o interregionale (laddove il numero dei posti dovesse essere esiguo in una regione), fermo restando il carattere regionale della graduatoria</w:t>
      </w:r>
    </w:p>
    <w:p w14:paraId="0F69F539" w14:textId="77777777" w:rsidR="003B711C" w:rsidRPr="003B711C" w:rsidRDefault="003B711C" w:rsidP="003B711C">
      <w:pPr>
        <w:numPr>
          <w:ilvl w:val="0"/>
          <w:numId w:val="2"/>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3B711C">
        <w:rPr>
          <w:rFonts w:ascii="Arial" w:eastAsia="Times New Roman" w:hAnsi="Arial" w:cs="Arial"/>
          <w:color w:val="000000"/>
          <w:kern w:val="0"/>
          <w:sz w:val="23"/>
          <w:szCs w:val="23"/>
          <w:lang w:eastAsia="it-IT"/>
          <w14:ligatures w14:val="none"/>
        </w:rPr>
        <w:t>possono partecipare gli Assistenti Amministrativi (AA) che abbiano all’attivo 3 anni di servizio quali FF di DSGA congiuntamente a 5 anni di servizio come AA se in possesso di laurea di magistrale oppure a 10 anni di servizio come AA se in possesso di diploma</w:t>
      </w:r>
    </w:p>
    <w:p w14:paraId="6EF133A4" w14:textId="77777777" w:rsidR="003B711C" w:rsidRPr="003B711C" w:rsidRDefault="003B711C" w:rsidP="003B711C">
      <w:pPr>
        <w:numPr>
          <w:ilvl w:val="0"/>
          <w:numId w:val="2"/>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3B711C">
        <w:rPr>
          <w:rFonts w:ascii="Arial" w:eastAsia="Times New Roman" w:hAnsi="Arial" w:cs="Arial"/>
          <w:color w:val="000000"/>
          <w:kern w:val="0"/>
          <w:sz w:val="23"/>
          <w:szCs w:val="23"/>
          <w:lang w:eastAsia="it-IT"/>
          <w14:ligatures w14:val="none"/>
        </w:rPr>
        <w:t>la graduatoria sarà compilata in base all’esperienza maturata (con massimo 25 punti), ai titoli di studio (con massimo 25 punti) e alle competenze professionali (con massimo 50 punti).</w:t>
      </w:r>
    </w:p>
    <w:p w14:paraId="365713AA" w14:textId="77777777" w:rsidR="003B711C" w:rsidRPr="003B711C" w:rsidRDefault="003B711C" w:rsidP="003B711C">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3B711C">
        <w:rPr>
          <w:rFonts w:ascii="Arial" w:eastAsia="Times New Roman" w:hAnsi="Arial" w:cs="Arial"/>
          <w:b/>
          <w:bCs/>
          <w:color w:val="535353"/>
          <w:kern w:val="0"/>
          <w:sz w:val="27"/>
          <w:szCs w:val="27"/>
          <w:lang w:eastAsia="it-IT"/>
          <w14:ligatures w14:val="none"/>
        </w:rPr>
        <w:t>La posizione della FLC CGIL</w:t>
      </w:r>
    </w:p>
    <w:p w14:paraId="459A289D" w14:textId="77777777" w:rsidR="003B711C" w:rsidRPr="003B711C" w:rsidRDefault="003B711C" w:rsidP="003B711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B711C">
        <w:rPr>
          <w:rFonts w:ascii="Arial" w:eastAsia="Times New Roman" w:hAnsi="Arial" w:cs="Arial"/>
          <w:color w:val="000000"/>
          <w:kern w:val="0"/>
          <w:sz w:val="21"/>
          <w:szCs w:val="21"/>
          <w:lang w:eastAsia="it-IT"/>
          <w14:ligatures w14:val="none"/>
        </w:rPr>
        <w:t>Per la FLC CGIL la proposta dell’Amministrazione va nella giusta direzione nella misura in cui si sono prese in considerazione le istanze di semplificazione e valorizzazione che come sindacato avevamo avanzato nel precedente incontro.</w:t>
      </w:r>
    </w:p>
    <w:p w14:paraId="4614F04B" w14:textId="77777777" w:rsidR="003B711C" w:rsidRPr="003B711C" w:rsidRDefault="003B711C" w:rsidP="003B711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B711C">
        <w:rPr>
          <w:rFonts w:ascii="Arial" w:eastAsia="Times New Roman" w:hAnsi="Arial" w:cs="Arial"/>
          <w:color w:val="000000"/>
          <w:kern w:val="0"/>
          <w:sz w:val="21"/>
          <w:szCs w:val="21"/>
          <w:lang w:eastAsia="it-IT"/>
          <w14:ligatures w14:val="none"/>
        </w:rPr>
        <w:t>Vengono infatti valorizzati innanzitutto i titoli come l’esperienza maturata nella funzione di DSGA, il riconoscimento dei servizi svolti, la semplificazione sul possesso dei titoli e soprattutto la valorizzazione del possesso di laurea specialistica e di altre lauree, le esperienze professionali acquisite soprattutto nello specifico scolastico, la precisazione sulla quantità di ore di formazione e certificazione informatica.</w:t>
      </w:r>
    </w:p>
    <w:p w14:paraId="2C533E3F" w14:textId="77777777" w:rsidR="003B711C" w:rsidRPr="003B711C" w:rsidRDefault="003B711C" w:rsidP="003B711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B711C">
        <w:rPr>
          <w:rFonts w:ascii="Arial" w:eastAsia="Times New Roman" w:hAnsi="Arial" w:cs="Arial"/>
          <w:color w:val="000000"/>
          <w:kern w:val="0"/>
          <w:sz w:val="21"/>
          <w:szCs w:val="21"/>
          <w:lang w:eastAsia="it-IT"/>
          <w14:ligatures w14:val="none"/>
        </w:rPr>
        <w:lastRenderedPageBreak/>
        <w:t>Abbiamo fatto presente che occorre ulteriormente specificare che va preso in considerazione l’anno in corso, che in caso di parità di punteggio prevalga il maggior servizio prestato come DGSA, che nella tabella relativa alle esperienze bisogna chiarire l’alternatività del punteggio fra i servizi prestati come posizione economica e come semplice assistente, che il servizio prestato va calcolato ad anno intero.</w:t>
      </w:r>
    </w:p>
    <w:p w14:paraId="1087B7ED" w14:textId="77777777" w:rsidR="003B711C" w:rsidRPr="003B711C" w:rsidRDefault="003B711C" w:rsidP="003B711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B711C">
        <w:rPr>
          <w:rFonts w:ascii="Arial" w:eastAsia="Times New Roman" w:hAnsi="Arial" w:cs="Arial"/>
          <w:color w:val="000000"/>
          <w:kern w:val="0"/>
          <w:sz w:val="21"/>
          <w:szCs w:val="21"/>
          <w:lang w:eastAsia="it-IT"/>
          <w14:ligatures w14:val="none"/>
        </w:rPr>
        <w:t>Non è superfluo anche prendere in considerazione la possibilità di accompagnare la procedura, che deve rimanere comunque non selettiva, con una formazione organizzata in autonomia da parte del personale sugli argomenti che sono nella competenza del profilo di DSGA.</w:t>
      </w:r>
    </w:p>
    <w:p w14:paraId="41A7CC0D" w14:textId="77777777" w:rsidR="003B711C" w:rsidRPr="003B711C" w:rsidRDefault="003B711C" w:rsidP="003B711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B711C">
        <w:rPr>
          <w:rFonts w:ascii="Arial" w:eastAsia="Times New Roman" w:hAnsi="Arial" w:cs="Arial"/>
          <w:color w:val="000000"/>
          <w:kern w:val="0"/>
          <w:sz w:val="21"/>
          <w:szCs w:val="21"/>
          <w:lang w:eastAsia="it-IT"/>
          <w14:ligatures w14:val="none"/>
        </w:rPr>
        <w:t>Infine per la FLC CGIL è necessario dare carattere di permanenza alle graduatorie al fine di assorbire tutto il personale inserito in esse.</w:t>
      </w:r>
    </w:p>
    <w:p w14:paraId="5D4BD71A" w14:textId="77777777" w:rsidR="003B711C" w:rsidRPr="003B711C" w:rsidRDefault="003B711C" w:rsidP="003B711C">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3B711C">
        <w:rPr>
          <w:rFonts w:ascii="Arial" w:eastAsia="Times New Roman" w:hAnsi="Arial" w:cs="Arial"/>
          <w:b/>
          <w:bCs/>
          <w:color w:val="535353"/>
          <w:kern w:val="0"/>
          <w:sz w:val="27"/>
          <w:szCs w:val="27"/>
          <w:lang w:eastAsia="it-IT"/>
          <w14:ligatures w14:val="none"/>
        </w:rPr>
        <w:t>Conclusioni</w:t>
      </w:r>
    </w:p>
    <w:p w14:paraId="4187EC1E" w14:textId="77777777" w:rsidR="003B711C" w:rsidRPr="003B711C" w:rsidRDefault="003B711C" w:rsidP="003B711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B711C">
        <w:rPr>
          <w:rFonts w:ascii="Arial" w:eastAsia="Times New Roman" w:hAnsi="Arial" w:cs="Arial"/>
          <w:color w:val="000000"/>
          <w:kern w:val="0"/>
          <w:sz w:val="21"/>
          <w:szCs w:val="21"/>
          <w:lang w:eastAsia="it-IT"/>
          <w14:ligatures w14:val="none"/>
        </w:rPr>
        <w:t>L’Amministrazione, nel concludere l’incontro, ha manifestato l’intenzione di chiudere la procedura nei tempi utili a collocare in ruolo il personale da settembre 2024. Per questo accelererà l’iter che prevede una serie di passaggi a partire dal parere del CSPI e a seguire la firma del Ministro, la registrazione e infine l’emanazione di un DPCM.</w:t>
      </w:r>
    </w:p>
    <w:p w14:paraId="167A156A" w14:textId="77777777" w:rsidR="003B711C" w:rsidRPr="003B711C" w:rsidRDefault="003B711C" w:rsidP="003B711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B711C">
        <w:rPr>
          <w:rFonts w:ascii="Arial" w:eastAsia="Times New Roman" w:hAnsi="Arial" w:cs="Arial"/>
          <w:color w:val="000000"/>
          <w:kern w:val="0"/>
          <w:sz w:val="21"/>
          <w:szCs w:val="21"/>
          <w:lang w:eastAsia="it-IT"/>
          <w14:ligatures w14:val="none"/>
        </w:rPr>
        <w:t>Ha ritenuto accoglibili le istanze avanzate dalla FLC CGIL.</w:t>
      </w:r>
    </w:p>
    <w:p w14:paraId="6494472B" w14:textId="77777777" w:rsidR="003B711C" w:rsidRPr="003B711C" w:rsidRDefault="003B711C" w:rsidP="003B711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B711C">
        <w:rPr>
          <w:rFonts w:ascii="Arial" w:eastAsia="Times New Roman" w:hAnsi="Arial" w:cs="Arial"/>
          <w:color w:val="000000"/>
          <w:kern w:val="0"/>
          <w:sz w:val="21"/>
          <w:szCs w:val="21"/>
          <w:lang w:eastAsia="it-IT"/>
          <w14:ligatures w14:val="none"/>
        </w:rPr>
        <w:t>Rispetto alla richiesta di rendere permanente la graduatoria sarà interessato il Gabinetto del Ministro in modo tale che la questione venga sciolta prima della firma ministeriale.</w:t>
      </w:r>
    </w:p>
    <w:p w14:paraId="277B1749" w14:textId="77777777" w:rsidR="003B711C" w:rsidRPr="003B711C" w:rsidRDefault="003B711C" w:rsidP="003B711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B711C">
        <w:rPr>
          <w:rFonts w:ascii="Arial" w:eastAsia="Times New Roman" w:hAnsi="Arial" w:cs="Arial"/>
          <w:color w:val="000000"/>
          <w:kern w:val="0"/>
          <w:sz w:val="21"/>
          <w:szCs w:val="21"/>
          <w:lang w:eastAsia="it-IT"/>
          <w14:ligatures w14:val="none"/>
        </w:rPr>
        <w:t>I partecipanti hanno poi concordato di calendarizzare un incontro per la prossima settimana al fine di proseguire il confronto sulla tematica delle posizioni economiche.</w:t>
      </w:r>
    </w:p>
    <w:p w14:paraId="2A0909C4" w14:textId="77777777" w:rsidR="003B711C" w:rsidRPr="003B711C" w:rsidRDefault="003B711C" w:rsidP="003B711C">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3B711C">
        <w:rPr>
          <w:rFonts w:ascii="Tahoma" w:eastAsia="Times New Roman" w:hAnsi="Tahoma" w:cs="Tahoma"/>
          <w:color w:val="DC3B33"/>
          <w:kern w:val="36"/>
          <w:sz w:val="45"/>
          <w:szCs w:val="45"/>
          <w:lang w:eastAsia="it-IT"/>
          <w14:ligatures w14:val="none"/>
        </w:rPr>
        <w:t>Scuola, Conto Consuntivo 2023: ottenuta la proroga dei termini</w:t>
      </w:r>
    </w:p>
    <w:p w14:paraId="37C87C78" w14:textId="77777777" w:rsidR="003B711C" w:rsidRPr="003B711C" w:rsidRDefault="003B711C" w:rsidP="003B711C">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3B711C">
        <w:rPr>
          <w:rFonts w:ascii="Arial" w:eastAsia="Times New Roman" w:hAnsi="Arial" w:cs="Arial"/>
          <w:color w:val="535353"/>
          <w:kern w:val="0"/>
          <w:sz w:val="27"/>
          <w:szCs w:val="27"/>
          <w:lang w:eastAsia="it-IT"/>
          <w14:ligatures w14:val="none"/>
        </w:rPr>
        <w:t>A seguito delle nostre pressanti richieste, il Ministero ha differito le scadenze dei termini per la predisposizione ed approvazione del Conto Consuntivo 2023.</w:t>
      </w:r>
    </w:p>
    <w:p w14:paraId="215BE063" w14:textId="77777777" w:rsidR="003B711C" w:rsidRPr="003B711C" w:rsidRDefault="003B711C" w:rsidP="003B711C">
      <w:pPr>
        <w:shd w:val="clear" w:color="auto" w:fill="FFFFFF"/>
        <w:spacing w:after="0" w:line="240" w:lineRule="auto"/>
        <w:rPr>
          <w:rFonts w:ascii="Arial" w:eastAsia="Times New Roman" w:hAnsi="Arial" w:cs="Arial"/>
          <w:color w:val="4D4D4D"/>
          <w:kern w:val="0"/>
          <w:sz w:val="21"/>
          <w:szCs w:val="21"/>
          <w:lang w:eastAsia="it-IT"/>
          <w14:ligatures w14:val="none"/>
        </w:rPr>
      </w:pPr>
      <w:r w:rsidRPr="003B711C">
        <w:rPr>
          <w:rFonts w:ascii="Arial" w:eastAsia="Times New Roman" w:hAnsi="Arial" w:cs="Arial"/>
          <w:b/>
          <w:bCs/>
          <w:color w:val="4D4D4D"/>
          <w:kern w:val="0"/>
          <w:sz w:val="21"/>
          <w:szCs w:val="21"/>
          <w:lang w:eastAsia="it-IT"/>
          <w14:ligatures w14:val="none"/>
        </w:rPr>
        <w:t>14/03/2024</w:t>
      </w:r>
    </w:p>
    <w:p w14:paraId="40BFEE65" w14:textId="77777777" w:rsidR="003B711C" w:rsidRDefault="003B711C" w:rsidP="003B711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6A8BA236" w14:textId="3127038C" w:rsidR="003B711C" w:rsidRPr="003B711C" w:rsidRDefault="003B711C" w:rsidP="003B711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B711C">
        <w:rPr>
          <w:rFonts w:ascii="Arial" w:eastAsia="Times New Roman" w:hAnsi="Arial" w:cs="Arial"/>
          <w:color w:val="000000"/>
          <w:kern w:val="0"/>
          <w:sz w:val="21"/>
          <w:szCs w:val="21"/>
          <w:lang w:eastAsia="it-IT"/>
          <w14:ligatures w14:val="none"/>
        </w:rPr>
        <w:t>Il Ministero ha emanato la </w:t>
      </w:r>
      <w:hyperlink r:id="rId10" w:tgtFrame="_blank" w:history="1">
        <w:r w:rsidRPr="003B711C">
          <w:rPr>
            <w:rFonts w:ascii="Arial" w:eastAsia="Times New Roman" w:hAnsi="Arial" w:cs="Arial"/>
            <w:color w:val="005EB3"/>
            <w:kern w:val="0"/>
            <w:sz w:val="21"/>
            <w:szCs w:val="21"/>
            <w:lang w:eastAsia="it-IT"/>
            <w14:ligatures w14:val="none"/>
          </w:rPr>
          <w:t>nota 8259 del 14 marzo 2024</w:t>
        </w:r>
      </w:hyperlink>
      <w:r w:rsidRPr="003B711C">
        <w:rPr>
          <w:rFonts w:ascii="Arial" w:eastAsia="Times New Roman" w:hAnsi="Arial" w:cs="Arial"/>
          <w:b/>
          <w:bCs/>
          <w:color w:val="000000"/>
          <w:kern w:val="0"/>
          <w:sz w:val="21"/>
          <w:szCs w:val="21"/>
          <w:lang w:eastAsia="it-IT"/>
          <w14:ligatures w14:val="none"/>
        </w:rPr>
        <w:t> </w:t>
      </w:r>
      <w:r w:rsidRPr="003B711C">
        <w:rPr>
          <w:rFonts w:ascii="Arial" w:eastAsia="Times New Roman" w:hAnsi="Arial" w:cs="Arial"/>
          <w:color w:val="000000"/>
          <w:kern w:val="0"/>
          <w:sz w:val="21"/>
          <w:szCs w:val="21"/>
          <w:lang w:eastAsia="it-IT"/>
          <w14:ligatures w14:val="none"/>
        </w:rPr>
        <w:t>con la quale</w:t>
      </w:r>
      <w:r w:rsidRPr="003B711C">
        <w:rPr>
          <w:rFonts w:ascii="Arial" w:eastAsia="Times New Roman" w:hAnsi="Arial" w:cs="Arial"/>
          <w:b/>
          <w:bCs/>
          <w:color w:val="000000"/>
          <w:kern w:val="0"/>
          <w:sz w:val="21"/>
          <w:szCs w:val="21"/>
          <w:lang w:eastAsia="it-IT"/>
          <w14:ligatures w14:val="none"/>
        </w:rPr>
        <w:t> ha accolto la nostra richiesta di proroga delle</w:t>
      </w:r>
      <w:r w:rsidRPr="003B711C">
        <w:rPr>
          <w:rFonts w:ascii="Arial" w:eastAsia="Times New Roman" w:hAnsi="Arial" w:cs="Arial"/>
          <w:color w:val="000000"/>
          <w:kern w:val="0"/>
          <w:sz w:val="21"/>
          <w:szCs w:val="21"/>
          <w:lang w:eastAsia="it-IT"/>
          <w14:ligatures w14:val="none"/>
        </w:rPr>
        <w:t> </w:t>
      </w:r>
      <w:r w:rsidRPr="003B711C">
        <w:rPr>
          <w:rFonts w:ascii="Arial" w:eastAsia="Times New Roman" w:hAnsi="Arial" w:cs="Arial"/>
          <w:b/>
          <w:bCs/>
          <w:color w:val="000000"/>
          <w:kern w:val="0"/>
          <w:sz w:val="21"/>
          <w:szCs w:val="21"/>
          <w:lang w:eastAsia="it-IT"/>
          <w14:ligatures w14:val="none"/>
        </w:rPr>
        <w:t>tempistiche </w:t>
      </w:r>
      <w:r w:rsidRPr="003B711C">
        <w:rPr>
          <w:rFonts w:ascii="Arial" w:eastAsia="Times New Roman" w:hAnsi="Arial" w:cs="Arial"/>
          <w:color w:val="000000"/>
          <w:kern w:val="0"/>
          <w:sz w:val="21"/>
          <w:szCs w:val="21"/>
          <w:lang w:eastAsia="it-IT"/>
          <w14:ligatures w14:val="none"/>
        </w:rPr>
        <w:t>previste nel DI 129/2018, per la predisposizione e approvazione </w:t>
      </w:r>
      <w:r w:rsidRPr="003B711C">
        <w:rPr>
          <w:rFonts w:ascii="Arial" w:eastAsia="Times New Roman" w:hAnsi="Arial" w:cs="Arial"/>
          <w:b/>
          <w:bCs/>
          <w:color w:val="000000"/>
          <w:kern w:val="0"/>
          <w:sz w:val="21"/>
          <w:szCs w:val="21"/>
          <w:lang w:eastAsia="it-IT"/>
          <w14:ligatures w14:val="none"/>
        </w:rPr>
        <w:t>del Conto Consuntivo 2023</w:t>
      </w:r>
      <w:r w:rsidRPr="003B711C">
        <w:rPr>
          <w:rFonts w:ascii="Arial" w:eastAsia="Times New Roman" w:hAnsi="Arial" w:cs="Arial"/>
          <w:color w:val="000000"/>
          <w:kern w:val="0"/>
          <w:sz w:val="21"/>
          <w:szCs w:val="21"/>
          <w:lang w:eastAsia="it-IT"/>
          <w14:ligatures w14:val="none"/>
        </w:rPr>
        <w:t>, che avevamo ripetutamente </w:t>
      </w:r>
      <w:hyperlink r:id="rId11" w:tgtFrame="_blank" w:history="1">
        <w:r w:rsidRPr="003B711C">
          <w:rPr>
            <w:rFonts w:ascii="Arial" w:eastAsia="Times New Roman" w:hAnsi="Arial" w:cs="Arial"/>
            <w:color w:val="005EB3"/>
            <w:kern w:val="0"/>
            <w:sz w:val="21"/>
            <w:szCs w:val="21"/>
            <w:lang w:eastAsia="it-IT"/>
            <w14:ligatures w14:val="none"/>
          </w:rPr>
          <w:t>sollecitato </w:t>
        </w:r>
      </w:hyperlink>
      <w:r w:rsidRPr="003B711C">
        <w:rPr>
          <w:rFonts w:ascii="Arial" w:eastAsia="Times New Roman" w:hAnsi="Arial" w:cs="Arial"/>
          <w:color w:val="000000"/>
          <w:kern w:val="0"/>
          <w:sz w:val="21"/>
          <w:szCs w:val="21"/>
          <w:lang w:eastAsia="it-IT"/>
          <w14:ligatures w14:val="none"/>
        </w:rPr>
        <w:t>a causa del sovraccarico di adempimenti nelle segreterie scolastiche in questa fase dell’anno scolastico.</w:t>
      </w:r>
    </w:p>
    <w:p w14:paraId="4A429BE5" w14:textId="77777777" w:rsidR="003B711C" w:rsidRPr="003B711C" w:rsidRDefault="003B711C" w:rsidP="003B711C">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3B711C">
        <w:rPr>
          <w:rFonts w:ascii="Tahoma" w:eastAsia="Times New Roman" w:hAnsi="Tahoma" w:cs="Tahoma"/>
          <w:color w:val="DC3B33"/>
          <w:kern w:val="36"/>
          <w:sz w:val="45"/>
          <w:szCs w:val="45"/>
          <w:lang w:eastAsia="it-IT"/>
          <w14:ligatures w14:val="none"/>
        </w:rPr>
        <w:t>Elezioni CSPI: si vota il 7 maggio 2024. Sostieni “CGIL-VALORE SCUOLA”</w:t>
      </w:r>
    </w:p>
    <w:p w14:paraId="786375D5" w14:textId="77777777" w:rsidR="003B711C" w:rsidRPr="003B711C" w:rsidRDefault="003B711C" w:rsidP="003B711C">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3B711C">
        <w:rPr>
          <w:rFonts w:ascii="Arial" w:eastAsia="Times New Roman" w:hAnsi="Arial" w:cs="Arial"/>
          <w:color w:val="535353"/>
          <w:kern w:val="0"/>
          <w:sz w:val="27"/>
          <w:szCs w:val="27"/>
          <w:lang w:eastAsia="it-IT"/>
          <w14:ligatures w14:val="none"/>
        </w:rPr>
        <w:t>“La scuola che vale, lascia il segno”, la FLC CGIL presenta le proprie liste per il rinnovo del Consiglio Superiore della Pubblica Istruzione</w:t>
      </w:r>
    </w:p>
    <w:p w14:paraId="1AAC5DD3" w14:textId="77777777" w:rsidR="003B711C" w:rsidRPr="003B711C" w:rsidRDefault="003B711C" w:rsidP="003B711C">
      <w:pPr>
        <w:shd w:val="clear" w:color="auto" w:fill="FFFFFF"/>
        <w:spacing w:after="0" w:line="240" w:lineRule="auto"/>
        <w:rPr>
          <w:rFonts w:ascii="Arial" w:eastAsia="Times New Roman" w:hAnsi="Arial" w:cs="Arial"/>
          <w:color w:val="4D4D4D"/>
          <w:kern w:val="0"/>
          <w:sz w:val="21"/>
          <w:szCs w:val="21"/>
          <w:lang w:eastAsia="it-IT"/>
          <w14:ligatures w14:val="none"/>
        </w:rPr>
      </w:pPr>
      <w:r w:rsidRPr="003B711C">
        <w:rPr>
          <w:rFonts w:ascii="Arial" w:eastAsia="Times New Roman" w:hAnsi="Arial" w:cs="Arial"/>
          <w:b/>
          <w:bCs/>
          <w:color w:val="4D4D4D"/>
          <w:kern w:val="0"/>
          <w:sz w:val="21"/>
          <w:szCs w:val="21"/>
          <w:lang w:eastAsia="it-IT"/>
          <w14:ligatures w14:val="none"/>
        </w:rPr>
        <w:t>14/03/2024</w:t>
      </w:r>
    </w:p>
    <w:p w14:paraId="162AEBD5" w14:textId="77777777" w:rsidR="003B711C" w:rsidRDefault="003B711C" w:rsidP="003B711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2790191E" w14:textId="52049DEA" w:rsidR="003B711C" w:rsidRPr="003B711C" w:rsidRDefault="003B711C" w:rsidP="003B711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B711C">
        <w:rPr>
          <w:rFonts w:ascii="Arial" w:eastAsia="Times New Roman" w:hAnsi="Arial" w:cs="Arial"/>
          <w:noProof/>
          <w:color w:val="005EB3"/>
          <w:kern w:val="0"/>
          <w:sz w:val="21"/>
          <w:szCs w:val="21"/>
          <w:lang w:eastAsia="it-IT"/>
          <w14:ligatures w14:val="none"/>
        </w:rPr>
        <mc:AlternateContent>
          <mc:Choice Requires="wps">
            <w:drawing>
              <wp:inline distT="0" distB="0" distL="0" distR="0" wp14:anchorId="0D8807C4" wp14:editId="369E9776">
                <wp:extent cx="304800" cy="304800"/>
                <wp:effectExtent l="0" t="0" r="0" b="0"/>
                <wp:docPr id="2051467377" name="AutoShape 19" descr="Elezioni CSPI, 7 maggio 2024">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E219F1" id="AutoShape 19" o:spid="_x0000_s1026" alt="Elezioni CSPI, 7 maggio 2024" href="https://www.flcgil.it/scuola/elezioni-cspi-si-vota-7-maggio-2024-liste-e-candidature.flc"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3B711C">
        <w:rPr>
          <w:rFonts w:ascii="Arial" w:eastAsia="Times New Roman" w:hAnsi="Arial" w:cs="Arial"/>
          <w:color w:val="000000"/>
          <w:kern w:val="0"/>
          <w:sz w:val="21"/>
          <w:szCs w:val="21"/>
          <w:lang w:eastAsia="it-IT"/>
          <w14:ligatures w14:val="none"/>
        </w:rPr>
        <w:t>Il </w:t>
      </w:r>
      <w:r w:rsidRPr="003B711C">
        <w:rPr>
          <w:rFonts w:ascii="Arial" w:eastAsia="Times New Roman" w:hAnsi="Arial" w:cs="Arial"/>
          <w:b/>
          <w:bCs/>
          <w:color w:val="000000"/>
          <w:kern w:val="0"/>
          <w:sz w:val="21"/>
          <w:szCs w:val="21"/>
          <w:lang w:eastAsia="it-IT"/>
          <w14:ligatures w14:val="none"/>
        </w:rPr>
        <w:t>7 maggio 2024</w:t>
      </w:r>
      <w:r w:rsidRPr="003B711C">
        <w:rPr>
          <w:rFonts w:ascii="Arial" w:eastAsia="Times New Roman" w:hAnsi="Arial" w:cs="Arial"/>
          <w:color w:val="000000"/>
          <w:kern w:val="0"/>
          <w:sz w:val="21"/>
          <w:szCs w:val="21"/>
          <w:lang w:eastAsia="it-IT"/>
          <w14:ligatures w14:val="none"/>
        </w:rPr>
        <w:t>, </w:t>
      </w:r>
      <w:r w:rsidRPr="003B711C">
        <w:rPr>
          <w:rFonts w:ascii="Arial" w:eastAsia="Times New Roman" w:hAnsi="Arial" w:cs="Arial"/>
          <w:b/>
          <w:bCs/>
          <w:color w:val="000000"/>
          <w:kern w:val="0"/>
          <w:sz w:val="21"/>
          <w:szCs w:val="21"/>
          <w:lang w:eastAsia="it-IT"/>
          <w14:ligatures w14:val="none"/>
        </w:rPr>
        <w:t>dalle ore 8 alle ore 17</w:t>
      </w:r>
      <w:r w:rsidRPr="003B711C">
        <w:rPr>
          <w:rFonts w:ascii="Arial" w:eastAsia="Times New Roman" w:hAnsi="Arial" w:cs="Arial"/>
          <w:color w:val="000000"/>
          <w:kern w:val="0"/>
          <w:sz w:val="21"/>
          <w:szCs w:val="21"/>
          <w:lang w:eastAsia="it-IT"/>
          <w14:ligatures w14:val="none"/>
        </w:rPr>
        <w:t> (</w:t>
      </w:r>
      <w:hyperlink r:id="rId13" w:tgtFrame="_blank" w:history="1">
        <w:r w:rsidRPr="003B711C">
          <w:rPr>
            <w:rFonts w:ascii="Arial" w:eastAsia="Times New Roman" w:hAnsi="Arial" w:cs="Arial"/>
            <w:color w:val="005EB3"/>
            <w:kern w:val="0"/>
            <w:sz w:val="21"/>
            <w:szCs w:val="21"/>
            <w:u w:val="single"/>
            <w:lang w:eastAsia="it-IT"/>
            <w14:ligatures w14:val="none"/>
          </w:rPr>
          <w:t>Ordinanza Ministeriale 234 del 5 dicembre 2023</w:t>
        </w:r>
      </w:hyperlink>
      <w:r w:rsidRPr="003B711C">
        <w:rPr>
          <w:rFonts w:ascii="Arial" w:eastAsia="Times New Roman" w:hAnsi="Arial" w:cs="Arial"/>
          <w:color w:val="000000"/>
          <w:kern w:val="0"/>
          <w:sz w:val="21"/>
          <w:szCs w:val="21"/>
          <w:lang w:eastAsia="it-IT"/>
          <w14:ligatures w14:val="none"/>
        </w:rPr>
        <w:t>), docenti, personale educativo, ATA e dirigenti votano in tutte le scuole italiane per eleggere le proprie rappresentanze nel </w:t>
      </w:r>
      <w:r w:rsidRPr="003B711C">
        <w:rPr>
          <w:rFonts w:ascii="Arial" w:eastAsia="Times New Roman" w:hAnsi="Arial" w:cs="Arial"/>
          <w:b/>
          <w:bCs/>
          <w:color w:val="000000"/>
          <w:kern w:val="0"/>
          <w:sz w:val="21"/>
          <w:szCs w:val="21"/>
          <w:lang w:eastAsia="it-IT"/>
          <w14:ligatures w14:val="none"/>
        </w:rPr>
        <w:t>Consiglio Superiore della Pubblica Istruzione</w:t>
      </w:r>
      <w:r w:rsidRPr="003B711C">
        <w:rPr>
          <w:rFonts w:ascii="Arial" w:eastAsia="Times New Roman" w:hAnsi="Arial" w:cs="Arial"/>
          <w:color w:val="000000"/>
          <w:kern w:val="0"/>
          <w:sz w:val="21"/>
          <w:szCs w:val="21"/>
          <w:lang w:eastAsia="it-IT"/>
          <w14:ligatures w14:val="none"/>
        </w:rPr>
        <w:t>.</w:t>
      </w:r>
      <w:r w:rsidRPr="003B711C">
        <w:rPr>
          <w:rFonts w:ascii="Arial" w:eastAsia="Times New Roman" w:hAnsi="Arial" w:cs="Arial"/>
          <w:color w:val="000000"/>
          <w:kern w:val="0"/>
          <w:sz w:val="21"/>
          <w:szCs w:val="21"/>
          <w:lang w:eastAsia="it-IT"/>
          <w14:ligatures w14:val="none"/>
        </w:rPr>
        <w:br/>
        <w:t>Il </w:t>
      </w:r>
      <w:r w:rsidRPr="003B711C">
        <w:rPr>
          <w:rFonts w:ascii="Arial" w:eastAsia="Times New Roman" w:hAnsi="Arial" w:cs="Arial"/>
          <w:b/>
          <w:bCs/>
          <w:color w:val="000000"/>
          <w:kern w:val="0"/>
          <w:sz w:val="21"/>
          <w:szCs w:val="21"/>
          <w:lang w:eastAsia="it-IT"/>
          <w14:ligatures w14:val="none"/>
        </w:rPr>
        <w:t>CSPI</w:t>
      </w:r>
      <w:r w:rsidRPr="003B711C">
        <w:rPr>
          <w:rFonts w:ascii="Arial" w:eastAsia="Times New Roman" w:hAnsi="Arial" w:cs="Arial"/>
          <w:color w:val="000000"/>
          <w:kern w:val="0"/>
          <w:sz w:val="21"/>
          <w:szCs w:val="21"/>
          <w:lang w:eastAsia="it-IT"/>
          <w14:ligatures w14:val="none"/>
        </w:rPr>
        <w:t xml:space="preserve"> è l’organismo di rappresentanza della scuola italiana, abolito nel 2013 e successivamente </w:t>
      </w:r>
      <w:r w:rsidRPr="003B711C">
        <w:rPr>
          <w:rFonts w:ascii="Arial" w:eastAsia="Times New Roman" w:hAnsi="Arial" w:cs="Arial"/>
          <w:color w:val="000000"/>
          <w:kern w:val="0"/>
          <w:sz w:val="21"/>
          <w:szCs w:val="21"/>
          <w:lang w:eastAsia="it-IT"/>
          <w14:ligatures w14:val="none"/>
        </w:rPr>
        <w:lastRenderedPageBreak/>
        <w:t>ripristinato nel 2015 dopo una vera e propria </w:t>
      </w:r>
      <w:hyperlink r:id="rId14" w:tgtFrame="_blank" w:history="1">
        <w:r w:rsidRPr="003B711C">
          <w:rPr>
            <w:rFonts w:ascii="Arial" w:eastAsia="Times New Roman" w:hAnsi="Arial" w:cs="Arial"/>
            <w:color w:val="005EB3"/>
            <w:kern w:val="0"/>
            <w:sz w:val="21"/>
            <w:szCs w:val="21"/>
            <w:u w:val="single"/>
            <w:lang w:eastAsia="it-IT"/>
            <w14:ligatures w14:val="none"/>
          </w:rPr>
          <w:t>battaglia</w:t>
        </w:r>
      </w:hyperlink>
      <w:r w:rsidRPr="003B711C">
        <w:rPr>
          <w:rFonts w:ascii="Arial" w:eastAsia="Times New Roman" w:hAnsi="Arial" w:cs="Arial"/>
          <w:color w:val="000000"/>
          <w:kern w:val="0"/>
          <w:sz w:val="21"/>
          <w:szCs w:val="21"/>
          <w:lang w:eastAsia="it-IT"/>
          <w14:ligatures w14:val="none"/>
        </w:rPr>
        <w:t> politica e giudiziaria condotta in solitudine dalla </w:t>
      </w:r>
      <w:r w:rsidRPr="003B711C">
        <w:rPr>
          <w:rFonts w:ascii="Arial" w:eastAsia="Times New Roman" w:hAnsi="Arial" w:cs="Arial"/>
          <w:b/>
          <w:bCs/>
          <w:color w:val="000000"/>
          <w:kern w:val="0"/>
          <w:sz w:val="21"/>
          <w:szCs w:val="21"/>
          <w:lang w:eastAsia="it-IT"/>
          <w14:ligatures w14:val="none"/>
        </w:rPr>
        <w:t>FLC CGIL</w:t>
      </w:r>
      <w:r w:rsidRPr="003B711C">
        <w:rPr>
          <w:rFonts w:ascii="Arial" w:eastAsia="Times New Roman" w:hAnsi="Arial" w:cs="Arial"/>
          <w:color w:val="000000"/>
          <w:kern w:val="0"/>
          <w:sz w:val="21"/>
          <w:szCs w:val="21"/>
          <w:lang w:eastAsia="it-IT"/>
          <w14:ligatures w14:val="none"/>
        </w:rPr>
        <w:t>.</w:t>
      </w:r>
    </w:p>
    <w:p w14:paraId="5E205A2E" w14:textId="77777777" w:rsidR="003B711C" w:rsidRPr="003B711C" w:rsidRDefault="003B711C" w:rsidP="003B711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B711C">
        <w:rPr>
          <w:rFonts w:ascii="Arial" w:eastAsia="Times New Roman" w:hAnsi="Arial" w:cs="Arial"/>
          <w:b/>
          <w:bCs/>
          <w:color w:val="000000"/>
          <w:kern w:val="0"/>
          <w:sz w:val="21"/>
          <w:szCs w:val="21"/>
          <w:lang w:eastAsia="it-IT"/>
          <w14:ligatures w14:val="none"/>
        </w:rPr>
        <w:t>Il CSPI è un organo consultivo</w:t>
      </w:r>
      <w:r w:rsidRPr="003B711C">
        <w:rPr>
          <w:rFonts w:ascii="Arial" w:eastAsia="Times New Roman" w:hAnsi="Arial" w:cs="Arial"/>
          <w:color w:val="000000"/>
          <w:kern w:val="0"/>
          <w:sz w:val="21"/>
          <w:szCs w:val="21"/>
          <w:lang w:eastAsia="it-IT"/>
          <w14:ligatures w14:val="none"/>
        </w:rPr>
        <w:t>, che esprime pareri, anche di propria iniziativa, sui provvedimenti del Ministero dell’Istruzione. Questo consente, ai rappresentanti eletti, di essere interpellati di diritto prima dell’approvazione di decreti e leggi sulla scuola.</w:t>
      </w:r>
    </w:p>
    <w:p w14:paraId="308F9C8A" w14:textId="77777777" w:rsidR="003B39CB" w:rsidRPr="003B39CB" w:rsidRDefault="003B39CB" w:rsidP="003B39CB">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3B39CB">
        <w:rPr>
          <w:rFonts w:ascii="Tahoma" w:eastAsia="Times New Roman" w:hAnsi="Tahoma" w:cs="Tahoma"/>
          <w:color w:val="DC3B33"/>
          <w:kern w:val="36"/>
          <w:sz w:val="45"/>
          <w:szCs w:val="45"/>
          <w:lang w:eastAsia="it-IT"/>
          <w14:ligatures w14:val="none"/>
        </w:rPr>
        <w:t>Dirigenti scolastici FLC CGIL Genova e Liguria in Prefettura per protestare sui fatti di Pisa</w:t>
      </w:r>
    </w:p>
    <w:p w14:paraId="107532DA" w14:textId="77777777" w:rsidR="003B39CB" w:rsidRPr="003B39CB" w:rsidRDefault="003B39CB" w:rsidP="003B39CB">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3B39CB">
        <w:rPr>
          <w:rFonts w:ascii="Arial" w:eastAsia="Times New Roman" w:hAnsi="Arial" w:cs="Arial"/>
          <w:color w:val="535353"/>
          <w:kern w:val="0"/>
          <w:sz w:val="27"/>
          <w:szCs w:val="27"/>
          <w:lang w:eastAsia="it-IT"/>
          <w14:ligatures w14:val="none"/>
        </w:rPr>
        <w:t>Nel corso dell’incontro è stata evidenziata l’esigenza di ristabilire la certezza di poter esprimere il proprio pensiero liberamente e in sicurezza</w:t>
      </w:r>
    </w:p>
    <w:p w14:paraId="7B2C8B11" w14:textId="77777777" w:rsidR="003B39CB" w:rsidRPr="003B39CB" w:rsidRDefault="003B39CB" w:rsidP="003B39CB">
      <w:pPr>
        <w:shd w:val="clear" w:color="auto" w:fill="FFFFFF"/>
        <w:spacing w:after="0" w:line="240" w:lineRule="auto"/>
        <w:rPr>
          <w:rFonts w:ascii="Arial" w:eastAsia="Times New Roman" w:hAnsi="Arial" w:cs="Arial"/>
          <w:color w:val="4D4D4D"/>
          <w:kern w:val="0"/>
          <w:sz w:val="21"/>
          <w:szCs w:val="21"/>
          <w:lang w:eastAsia="it-IT"/>
          <w14:ligatures w14:val="none"/>
        </w:rPr>
      </w:pPr>
      <w:r w:rsidRPr="003B39CB">
        <w:rPr>
          <w:rFonts w:ascii="Arial" w:eastAsia="Times New Roman" w:hAnsi="Arial" w:cs="Arial"/>
          <w:b/>
          <w:bCs/>
          <w:color w:val="4D4D4D"/>
          <w:kern w:val="0"/>
          <w:sz w:val="21"/>
          <w:szCs w:val="21"/>
          <w:lang w:eastAsia="it-IT"/>
          <w14:ligatures w14:val="none"/>
        </w:rPr>
        <w:t>15/03/2024</w:t>
      </w:r>
    </w:p>
    <w:p w14:paraId="0E1874DD" w14:textId="77777777" w:rsidR="003B39CB" w:rsidRDefault="003B39CB" w:rsidP="003B39C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66BA24EC" w14:textId="25E99C28" w:rsidR="003B39CB" w:rsidRPr="003B39CB" w:rsidRDefault="003B39CB" w:rsidP="003B39C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B39CB">
        <w:rPr>
          <w:rFonts w:ascii="Arial" w:eastAsia="Times New Roman" w:hAnsi="Arial" w:cs="Arial"/>
          <w:color w:val="000000"/>
          <w:kern w:val="0"/>
          <w:sz w:val="21"/>
          <w:szCs w:val="21"/>
          <w:lang w:eastAsia="it-IT"/>
          <w14:ligatures w14:val="none"/>
        </w:rPr>
        <w:t>Il 14 marzo una rappresentanza dei dirigenti scolastici aderenti alla FLC CGIL ha incontrato i vertici della Prefettura di Genova in merito ai fatti avvenuti a Pisa il 23 febbraio. Dopo quanto accaduto a Pisa, i dirigenti FLC CGIL avevano chiesto la riunione alla Prefettura per evidenziare la gravità su quanto avvenuto.</w:t>
      </w:r>
    </w:p>
    <w:p w14:paraId="0E27723D" w14:textId="77777777" w:rsidR="003B39CB" w:rsidRPr="003B39CB" w:rsidRDefault="003B39CB" w:rsidP="003B39C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B39CB">
        <w:rPr>
          <w:rFonts w:ascii="Arial" w:eastAsia="Times New Roman" w:hAnsi="Arial" w:cs="Arial"/>
          <w:color w:val="000000"/>
          <w:kern w:val="0"/>
          <w:sz w:val="21"/>
          <w:szCs w:val="21"/>
          <w:lang w:eastAsia="it-IT"/>
          <w14:ligatures w14:val="none"/>
        </w:rPr>
        <w:t>Per i dirigenti FLC CGIL i fatti di Pisa impongono la netta posizione di condanna verso una così chiara e tangibile azione di violenza e repressione della libera manifestazione di pensiero. </w:t>
      </w:r>
      <w:r w:rsidRPr="003B39CB">
        <w:rPr>
          <w:rFonts w:ascii="Arial" w:eastAsia="Times New Roman" w:hAnsi="Arial" w:cs="Arial"/>
          <w:color w:val="000000"/>
          <w:kern w:val="0"/>
          <w:sz w:val="21"/>
          <w:szCs w:val="21"/>
          <w:lang w:eastAsia="it-IT"/>
          <w14:ligatures w14:val="none"/>
        </w:rPr>
        <w:br/>
        <w:t>A scuola, ogni giorno, ragazze e ragazzi apprendono l’importanza del dialogo, della non violenza, della risoluzione di conflitti di ogni tipo, nel solco della Costituzione.</w:t>
      </w:r>
      <w:r w:rsidRPr="003B39CB">
        <w:rPr>
          <w:rFonts w:ascii="Arial" w:eastAsia="Times New Roman" w:hAnsi="Arial" w:cs="Arial"/>
          <w:color w:val="000000"/>
          <w:kern w:val="0"/>
          <w:sz w:val="21"/>
          <w:szCs w:val="21"/>
          <w:lang w:eastAsia="it-IT"/>
          <w14:ligatures w14:val="none"/>
        </w:rPr>
        <w:br/>
        <w:t>Quanto avvenuto a Pisa è quanto di più lontano da qualsiasi idea di Stato, di sicurezza, di sano rapporto con le Istituzioni. </w:t>
      </w:r>
    </w:p>
    <w:p w14:paraId="1A565558" w14:textId="77777777" w:rsidR="003B39CB" w:rsidRPr="003B39CB" w:rsidRDefault="003B39CB" w:rsidP="003B39C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B39CB">
        <w:rPr>
          <w:rFonts w:ascii="Arial" w:eastAsia="Times New Roman" w:hAnsi="Arial" w:cs="Arial"/>
          <w:color w:val="000000"/>
          <w:kern w:val="0"/>
          <w:sz w:val="21"/>
          <w:szCs w:val="21"/>
          <w:lang w:eastAsia="it-IT"/>
          <w14:ligatures w14:val="none"/>
        </w:rPr>
        <w:t>I dirigenti FLC CGIL hanno chiesto alla Prefettura di farsi portavoce nei confronti del Governo affinché queste istanze arrivino alle istituzioni per ristabilire la certezza di poter liberamente e in sicurezza esprimere il proprio pensiero anche nella forma coraggiosa del dissenso, facendo proprie le parole del Presidente Mattarella il quale ha ricordato che l’autorevolezza delle Forze dell’Ordine non si misura sui manganelli ma sulla capacità di assicurare sicurezza tutelando, al contempo, la libertà di manifestare pubblicamente opinioni e che, con i ragazzi, i manganelli hanno rappresentato un fallimento.</w:t>
      </w:r>
    </w:p>
    <w:p w14:paraId="57A31F51" w14:textId="77777777" w:rsidR="000D0D40" w:rsidRDefault="000D0D40"/>
    <w:sectPr w:rsidR="000D0D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53F7B"/>
    <w:multiLevelType w:val="multilevel"/>
    <w:tmpl w:val="1378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A00A09"/>
    <w:multiLevelType w:val="multilevel"/>
    <w:tmpl w:val="5636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B80865"/>
    <w:multiLevelType w:val="multilevel"/>
    <w:tmpl w:val="51C6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7415605">
    <w:abstractNumId w:val="2"/>
  </w:num>
  <w:num w:numId="2" w16cid:durableId="364598404">
    <w:abstractNumId w:val="0"/>
  </w:num>
  <w:num w:numId="3" w16cid:durableId="421411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11C"/>
    <w:rsid w:val="000D0D40"/>
    <w:rsid w:val="000D0EC2"/>
    <w:rsid w:val="003B39CB"/>
    <w:rsid w:val="003B71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EA153"/>
  <w15:chartTrackingRefBased/>
  <w15:docId w15:val="{BDD455C4-E862-44F4-BF23-476ACE31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998250">
      <w:bodyDiv w:val="1"/>
      <w:marLeft w:val="0"/>
      <w:marRight w:val="0"/>
      <w:marTop w:val="0"/>
      <w:marBottom w:val="0"/>
      <w:divBdr>
        <w:top w:val="none" w:sz="0" w:space="0" w:color="auto"/>
        <w:left w:val="none" w:sz="0" w:space="0" w:color="auto"/>
        <w:bottom w:val="none" w:sz="0" w:space="0" w:color="auto"/>
        <w:right w:val="none" w:sz="0" w:space="0" w:color="auto"/>
      </w:divBdr>
      <w:divsChild>
        <w:div w:id="520977414">
          <w:marLeft w:val="0"/>
          <w:marRight w:val="0"/>
          <w:marTop w:val="150"/>
          <w:marBottom w:val="150"/>
          <w:divBdr>
            <w:top w:val="none" w:sz="0" w:space="0" w:color="auto"/>
            <w:left w:val="none" w:sz="0" w:space="0" w:color="auto"/>
            <w:bottom w:val="single" w:sz="6" w:space="0" w:color="CCCCCC"/>
            <w:right w:val="none" w:sz="0" w:space="0" w:color="auto"/>
          </w:divBdr>
          <w:divsChild>
            <w:div w:id="310866566">
              <w:marLeft w:val="0"/>
              <w:marRight w:val="0"/>
              <w:marTop w:val="0"/>
              <w:marBottom w:val="0"/>
              <w:divBdr>
                <w:top w:val="none" w:sz="0" w:space="0" w:color="auto"/>
                <w:left w:val="none" w:sz="0" w:space="0" w:color="auto"/>
                <w:bottom w:val="none" w:sz="0" w:space="0" w:color="auto"/>
                <w:right w:val="none" w:sz="0" w:space="0" w:color="auto"/>
              </w:divBdr>
            </w:div>
          </w:divsChild>
        </w:div>
        <w:div w:id="284167078">
          <w:marLeft w:val="0"/>
          <w:marRight w:val="0"/>
          <w:marTop w:val="0"/>
          <w:marBottom w:val="0"/>
          <w:divBdr>
            <w:top w:val="none" w:sz="0" w:space="0" w:color="auto"/>
            <w:left w:val="none" w:sz="0" w:space="0" w:color="auto"/>
            <w:bottom w:val="none" w:sz="0" w:space="0" w:color="auto"/>
            <w:right w:val="none" w:sz="0" w:space="0" w:color="auto"/>
          </w:divBdr>
          <w:divsChild>
            <w:div w:id="535317172">
              <w:marLeft w:val="75"/>
              <w:marRight w:val="150"/>
              <w:marTop w:val="45"/>
              <w:marBottom w:val="75"/>
              <w:divBdr>
                <w:top w:val="none" w:sz="0" w:space="0" w:color="auto"/>
                <w:left w:val="none" w:sz="0" w:space="0" w:color="auto"/>
                <w:bottom w:val="none" w:sz="0" w:space="0" w:color="auto"/>
                <w:right w:val="none" w:sz="0" w:space="0" w:color="auto"/>
              </w:divBdr>
            </w:div>
            <w:div w:id="1947499023">
              <w:marLeft w:val="300"/>
              <w:marRight w:val="150"/>
              <w:marTop w:val="75"/>
              <w:marBottom w:val="0"/>
              <w:divBdr>
                <w:top w:val="none" w:sz="0" w:space="0" w:color="auto"/>
                <w:left w:val="none" w:sz="0" w:space="0" w:color="auto"/>
                <w:bottom w:val="none" w:sz="0" w:space="0" w:color="auto"/>
                <w:right w:val="none" w:sz="0" w:space="0" w:color="auto"/>
              </w:divBdr>
            </w:div>
            <w:div w:id="1246719147">
              <w:marLeft w:val="300"/>
              <w:marRight w:val="150"/>
              <w:marTop w:val="75"/>
              <w:marBottom w:val="0"/>
              <w:divBdr>
                <w:top w:val="none" w:sz="0" w:space="0" w:color="auto"/>
                <w:left w:val="none" w:sz="0" w:space="0" w:color="auto"/>
                <w:bottom w:val="none" w:sz="0" w:space="0" w:color="auto"/>
                <w:right w:val="none" w:sz="0" w:space="0" w:color="auto"/>
              </w:divBdr>
            </w:div>
          </w:divsChild>
        </w:div>
        <w:div w:id="88235945">
          <w:marLeft w:val="0"/>
          <w:marRight w:val="0"/>
          <w:marTop w:val="75"/>
          <w:marBottom w:val="150"/>
          <w:divBdr>
            <w:top w:val="none" w:sz="0" w:space="0" w:color="auto"/>
            <w:left w:val="none" w:sz="0" w:space="0" w:color="auto"/>
            <w:bottom w:val="none" w:sz="0" w:space="0" w:color="auto"/>
            <w:right w:val="none" w:sz="0" w:space="0" w:color="auto"/>
          </w:divBdr>
          <w:divsChild>
            <w:div w:id="1853689126">
              <w:marLeft w:val="0"/>
              <w:marRight w:val="0"/>
              <w:marTop w:val="45"/>
              <w:marBottom w:val="0"/>
              <w:divBdr>
                <w:top w:val="none" w:sz="0" w:space="0" w:color="auto"/>
                <w:left w:val="single" w:sz="48" w:space="0" w:color="FFFFFF"/>
                <w:bottom w:val="single" w:sz="48" w:space="0" w:color="FFFFFF"/>
                <w:right w:val="none" w:sz="0" w:space="0" w:color="auto"/>
              </w:divBdr>
              <w:divsChild>
                <w:div w:id="310327987">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319965515">
      <w:bodyDiv w:val="1"/>
      <w:marLeft w:val="0"/>
      <w:marRight w:val="0"/>
      <w:marTop w:val="0"/>
      <w:marBottom w:val="0"/>
      <w:divBdr>
        <w:top w:val="none" w:sz="0" w:space="0" w:color="auto"/>
        <w:left w:val="none" w:sz="0" w:space="0" w:color="auto"/>
        <w:bottom w:val="none" w:sz="0" w:space="0" w:color="auto"/>
        <w:right w:val="none" w:sz="0" w:space="0" w:color="auto"/>
      </w:divBdr>
      <w:divsChild>
        <w:div w:id="157431192">
          <w:marLeft w:val="0"/>
          <w:marRight w:val="0"/>
          <w:marTop w:val="150"/>
          <w:marBottom w:val="150"/>
          <w:divBdr>
            <w:top w:val="none" w:sz="0" w:space="0" w:color="auto"/>
            <w:left w:val="none" w:sz="0" w:space="0" w:color="auto"/>
            <w:bottom w:val="single" w:sz="6" w:space="0" w:color="CCCCCC"/>
            <w:right w:val="none" w:sz="0" w:space="0" w:color="auto"/>
          </w:divBdr>
          <w:divsChild>
            <w:div w:id="1501238197">
              <w:marLeft w:val="0"/>
              <w:marRight w:val="0"/>
              <w:marTop w:val="0"/>
              <w:marBottom w:val="0"/>
              <w:divBdr>
                <w:top w:val="none" w:sz="0" w:space="0" w:color="auto"/>
                <w:left w:val="none" w:sz="0" w:space="0" w:color="auto"/>
                <w:bottom w:val="none" w:sz="0" w:space="0" w:color="auto"/>
                <w:right w:val="none" w:sz="0" w:space="0" w:color="auto"/>
              </w:divBdr>
            </w:div>
          </w:divsChild>
        </w:div>
        <w:div w:id="271134125">
          <w:marLeft w:val="0"/>
          <w:marRight w:val="0"/>
          <w:marTop w:val="0"/>
          <w:marBottom w:val="0"/>
          <w:divBdr>
            <w:top w:val="none" w:sz="0" w:space="0" w:color="auto"/>
            <w:left w:val="none" w:sz="0" w:space="0" w:color="auto"/>
            <w:bottom w:val="none" w:sz="0" w:space="0" w:color="auto"/>
            <w:right w:val="none" w:sz="0" w:space="0" w:color="auto"/>
          </w:divBdr>
          <w:divsChild>
            <w:div w:id="561864936">
              <w:marLeft w:val="75"/>
              <w:marRight w:val="150"/>
              <w:marTop w:val="45"/>
              <w:marBottom w:val="75"/>
              <w:divBdr>
                <w:top w:val="none" w:sz="0" w:space="0" w:color="auto"/>
                <w:left w:val="none" w:sz="0" w:space="0" w:color="auto"/>
                <w:bottom w:val="none" w:sz="0" w:space="0" w:color="auto"/>
                <w:right w:val="none" w:sz="0" w:space="0" w:color="auto"/>
              </w:divBdr>
            </w:div>
            <w:div w:id="1021856714">
              <w:marLeft w:val="300"/>
              <w:marRight w:val="150"/>
              <w:marTop w:val="75"/>
              <w:marBottom w:val="0"/>
              <w:divBdr>
                <w:top w:val="none" w:sz="0" w:space="0" w:color="auto"/>
                <w:left w:val="none" w:sz="0" w:space="0" w:color="auto"/>
                <w:bottom w:val="none" w:sz="0" w:space="0" w:color="auto"/>
                <w:right w:val="none" w:sz="0" w:space="0" w:color="auto"/>
              </w:divBdr>
            </w:div>
            <w:div w:id="283272413">
              <w:marLeft w:val="300"/>
              <w:marRight w:val="150"/>
              <w:marTop w:val="75"/>
              <w:marBottom w:val="0"/>
              <w:divBdr>
                <w:top w:val="none" w:sz="0" w:space="0" w:color="auto"/>
                <w:left w:val="none" w:sz="0" w:space="0" w:color="auto"/>
                <w:bottom w:val="none" w:sz="0" w:space="0" w:color="auto"/>
                <w:right w:val="none" w:sz="0" w:space="0" w:color="auto"/>
              </w:divBdr>
            </w:div>
          </w:divsChild>
        </w:div>
        <w:div w:id="1307513240">
          <w:marLeft w:val="0"/>
          <w:marRight w:val="0"/>
          <w:marTop w:val="75"/>
          <w:marBottom w:val="150"/>
          <w:divBdr>
            <w:top w:val="none" w:sz="0" w:space="0" w:color="auto"/>
            <w:left w:val="none" w:sz="0" w:space="0" w:color="auto"/>
            <w:bottom w:val="none" w:sz="0" w:space="0" w:color="auto"/>
            <w:right w:val="none" w:sz="0" w:space="0" w:color="auto"/>
          </w:divBdr>
        </w:div>
      </w:divsChild>
    </w:div>
    <w:div w:id="605116213">
      <w:bodyDiv w:val="1"/>
      <w:marLeft w:val="0"/>
      <w:marRight w:val="0"/>
      <w:marTop w:val="0"/>
      <w:marBottom w:val="0"/>
      <w:divBdr>
        <w:top w:val="none" w:sz="0" w:space="0" w:color="auto"/>
        <w:left w:val="none" w:sz="0" w:space="0" w:color="auto"/>
        <w:bottom w:val="none" w:sz="0" w:space="0" w:color="auto"/>
        <w:right w:val="none" w:sz="0" w:space="0" w:color="auto"/>
      </w:divBdr>
      <w:divsChild>
        <w:div w:id="355161340">
          <w:marLeft w:val="0"/>
          <w:marRight w:val="0"/>
          <w:marTop w:val="150"/>
          <w:marBottom w:val="150"/>
          <w:divBdr>
            <w:top w:val="none" w:sz="0" w:space="0" w:color="auto"/>
            <w:left w:val="none" w:sz="0" w:space="0" w:color="auto"/>
            <w:bottom w:val="single" w:sz="6" w:space="0" w:color="CCCCCC"/>
            <w:right w:val="none" w:sz="0" w:space="0" w:color="auto"/>
          </w:divBdr>
          <w:divsChild>
            <w:div w:id="693386071">
              <w:marLeft w:val="0"/>
              <w:marRight w:val="0"/>
              <w:marTop w:val="0"/>
              <w:marBottom w:val="0"/>
              <w:divBdr>
                <w:top w:val="none" w:sz="0" w:space="0" w:color="auto"/>
                <w:left w:val="none" w:sz="0" w:space="0" w:color="auto"/>
                <w:bottom w:val="none" w:sz="0" w:space="0" w:color="auto"/>
                <w:right w:val="none" w:sz="0" w:space="0" w:color="auto"/>
              </w:divBdr>
            </w:div>
          </w:divsChild>
        </w:div>
        <w:div w:id="802622533">
          <w:marLeft w:val="0"/>
          <w:marRight w:val="0"/>
          <w:marTop w:val="0"/>
          <w:marBottom w:val="0"/>
          <w:divBdr>
            <w:top w:val="none" w:sz="0" w:space="0" w:color="auto"/>
            <w:left w:val="none" w:sz="0" w:space="0" w:color="auto"/>
            <w:bottom w:val="none" w:sz="0" w:space="0" w:color="auto"/>
            <w:right w:val="none" w:sz="0" w:space="0" w:color="auto"/>
          </w:divBdr>
          <w:divsChild>
            <w:div w:id="1981685993">
              <w:marLeft w:val="75"/>
              <w:marRight w:val="150"/>
              <w:marTop w:val="45"/>
              <w:marBottom w:val="75"/>
              <w:divBdr>
                <w:top w:val="none" w:sz="0" w:space="0" w:color="auto"/>
                <w:left w:val="none" w:sz="0" w:space="0" w:color="auto"/>
                <w:bottom w:val="none" w:sz="0" w:space="0" w:color="auto"/>
                <w:right w:val="none" w:sz="0" w:space="0" w:color="auto"/>
              </w:divBdr>
            </w:div>
            <w:div w:id="211813018">
              <w:marLeft w:val="300"/>
              <w:marRight w:val="150"/>
              <w:marTop w:val="75"/>
              <w:marBottom w:val="0"/>
              <w:divBdr>
                <w:top w:val="none" w:sz="0" w:space="0" w:color="auto"/>
                <w:left w:val="none" w:sz="0" w:space="0" w:color="auto"/>
                <w:bottom w:val="none" w:sz="0" w:space="0" w:color="auto"/>
                <w:right w:val="none" w:sz="0" w:space="0" w:color="auto"/>
              </w:divBdr>
            </w:div>
            <w:div w:id="1289699894">
              <w:marLeft w:val="300"/>
              <w:marRight w:val="150"/>
              <w:marTop w:val="75"/>
              <w:marBottom w:val="0"/>
              <w:divBdr>
                <w:top w:val="none" w:sz="0" w:space="0" w:color="auto"/>
                <w:left w:val="none" w:sz="0" w:space="0" w:color="auto"/>
                <w:bottom w:val="none" w:sz="0" w:space="0" w:color="auto"/>
                <w:right w:val="none" w:sz="0" w:space="0" w:color="auto"/>
              </w:divBdr>
            </w:div>
          </w:divsChild>
        </w:div>
        <w:div w:id="998388203">
          <w:marLeft w:val="0"/>
          <w:marRight w:val="0"/>
          <w:marTop w:val="75"/>
          <w:marBottom w:val="150"/>
          <w:divBdr>
            <w:top w:val="none" w:sz="0" w:space="0" w:color="auto"/>
            <w:left w:val="none" w:sz="0" w:space="0" w:color="auto"/>
            <w:bottom w:val="none" w:sz="0" w:space="0" w:color="auto"/>
            <w:right w:val="none" w:sz="0" w:space="0" w:color="auto"/>
          </w:divBdr>
        </w:div>
      </w:divsChild>
    </w:div>
    <w:div w:id="1019771249">
      <w:bodyDiv w:val="1"/>
      <w:marLeft w:val="0"/>
      <w:marRight w:val="0"/>
      <w:marTop w:val="0"/>
      <w:marBottom w:val="0"/>
      <w:divBdr>
        <w:top w:val="none" w:sz="0" w:space="0" w:color="auto"/>
        <w:left w:val="none" w:sz="0" w:space="0" w:color="auto"/>
        <w:bottom w:val="none" w:sz="0" w:space="0" w:color="auto"/>
        <w:right w:val="none" w:sz="0" w:space="0" w:color="auto"/>
      </w:divBdr>
      <w:divsChild>
        <w:div w:id="805010689">
          <w:marLeft w:val="0"/>
          <w:marRight w:val="0"/>
          <w:marTop w:val="150"/>
          <w:marBottom w:val="150"/>
          <w:divBdr>
            <w:top w:val="none" w:sz="0" w:space="0" w:color="auto"/>
            <w:left w:val="none" w:sz="0" w:space="0" w:color="auto"/>
            <w:bottom w:val="single" w:sz="6" w:space="0" w:color="CCCCCC"/>
            <w:right w:val="none" w:sz="0" w:space="0" w:color="auto"/>
          </w:divBdr>
          <w:divsChild>
            <w:div w:id="1192647814">
              <w:marLeft w:val="0"/>
              <w:marRight w:val="0"/>
              <w:marTop w:val="0"/>
              <w:marBottom w:val="0"/>
              <w:divBdr>
                <w:top w:val="none" w:sz="0" w:space="0" w:color="auto"/>
                <w:left w:val="none" w:sz="0" w:space="0" w:color="auto"/>
                <w:bottom w:val="none" w:sz="0" w:space="0" w:color="auto"/>
                <w:right w:val="none" w:sz="0" w:space="0" w:color="auto"/>
              </w:divBdr>
            </w:div>
          </w:divsChild>
        </w:div>
        <w:div w:id="178354457">
          <w:marLeft w:val="0"/>
          <w:marRight w:val="0"/>
          <w:marTop w:val="0"/>
          <w:marBottom w:val="0"/>
          <w:divBdr>
            <w:top w:val="none" w:sz="0" w:space="0" w:color="auto"/>
            <w:left w:val="none" w:sz="0" w:space="0" w:color="auto"/>
            <w:bottom w:val="none" w:sz="0" w:space="0" w:color="auto"/>
            <w:right w:val="none" w:sz="0" w:space="0" w:color="auto"/>
          </w:divBdr>
          <w:divsChild>
            <w:div w:id="752774598">
              <w:marLeft w:val="75"/>
              <w:marRight w:val="150"/>
              <w:marTop w:val="45"/>
              <w:marBottom w:val="75"/>
              <w:divBdr>
                <w:top w:val="none" w:sz="0" w:space="0" w:color="auto"/>
                <w:left w:val="none" w:sz="0" w:space="0" w:color="auto"/>
                <w:bottom w:val="none" w:sz="0" w:space="0" w:color="auto"/>
                <w:right w:val="none" w:sz="0" w:space="0" w:color="auto"/>
              </w:divBdr>
            </w:div>
            <w:div w:id="1529756369">
              <w:marLeft w:val="300"/>
              <w:marRight w:val="150"/>
              <w:marTop w:val="75"/>
              <w:marBottom w:val="0"/>
              <w:divBdr>
                <w:top w:val="none" w:sz="0" w:space="0" w:color="auto"/>
                <w:left w:val="none" w:sz="0" w:space="0" w:color="auto"/>
                <w:bottom w:val="none" w:sz="0" w:space="0" w:color="auto"/>
                <w:right w:val="none" w:sz="0" w:space="0" w:color="auto"/>
              </w:divBdr>
            </w:div>
            <w:div w:id="2133210636">
              <w:marLeft w:val="300"/>
              <w:marRight w:val="150"/>
              <w:marTop w:val="75"/>
              <w:marBottom w:val="0"/>
              <w:divBdr>
                <w:top w:val="none" w:sz="0" w:space="0" w:color="auto"/>
                <w:left w:val="none" w:sz="0" w:space="0" w:color="auto"/>
                <w:bottom w:val="none" w:sz="0" w:space="0" w:color="auto"/>
                <w:right w:val="none" w:sz="0" w:space="0" w:color="auto"/>
              </w:divBdr>
            </w:div>
          </w:divsChild>
        </w:div>
        <w:div w:id="578563624">
          <w:marLeft w:val="0"/>
          <w:marRight w:val="0"/>
          <w:marTop w:val="75"/>
          <w:marBottom w:val="150"/>
          <w:divBdr>
            <w:top w:val="none" w:sz="0" w:space="0" w:color="auto"/>
            <w:left w:val="none" w:sz="0" w:space="0" w:color="auto"/>
            <w:bottom w:val="none" w:sz="0" w:space="0" w:color="auto"/>
            <w:right w:val="none" w:sz="0" w:space="0" w:color="auto"/>
          </w:divBdr>
          <w:divsChild>
            <w:div w:id="410080596">
              <w:marLeft w:val="0"/>
              <w:marRight w:val="0"/>
              <w:marTop w:val="45"/>
              <w:marBottom w:val="0"/>
              <w:divBdr>
                <w:top w:val="none" w:sz="0" w:space="0" w:color="auto"/>
                <w:left w:val="single" w:sz="48" w:space="0" w:color="FFFFFF"/>
                <w:bottom w:val="single" w:sz="48" w:space="0" w:color="FFFFFF"/>
                <w:right w:val="none" w:sz="0" w:space="0" w:color="auto"/>
              </w:divBdr>
              <w:divsChild>
                <w:div w:id="1847670174">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1374236912">
      <w:bodyDiv w:val="1"/>
      <w:marLeft w:val="0"/>
      <w:marRight w:val="0"/>
      <w:marTop w:val="0"/>
      <w:marBottom w:val="0"/>
      <w:divBdr>
        <w:top w:val="none" w:sz="0" w:space="0" w:color="auto"/>
        <w:left w:val="none" w:sz="0" w:space="0" w:color="auto"/>
        <w:bottom w:val="none" w:sz="0" w:space="0" w:color="auto"/>
        <w:right w:val="none" w:sz="0" w:space="0" w:color="auto"/>
      </w:divBdr>
      <w:divsChild>
        <w:div w:id="561138599">
          <w:marLeft w:val="0"/>
          <w:marRight w:val="0"/>
          <w:marTop w:val="150"/>
          <w:marBottom w:val="150"/>
          <w:divBdr>
            <w:top w:val="none" w:sz="0" w:space="0" w:color="auto"/>
            <w:left w:val="none" w:sz="0" w:space="0" w:color="auto"/>
            <w:bottom w:val="single" w:sz="6" w:space="0" w:color="CCCCCC"/>
            <w:right w:val="none" w:sz="0" w:space="0" w:color="auto"/>
          </w:divBdr>
          <w:divsChild>
            <w:div w:id="968634078">
              <w:marLeft w:val="0"/>
              <w:marRight w:val="0"/>
              <w:marTop w:val="0"/>
              <w:marBottom w:val="0"/>
              <w:divBdr>
                <w:top w:val="none" w:sz="0" w:space="0" w:color="auto"/>
                <w:left w:val="none" w:sz="0" w:space="0" w:color="auto"/>
                <w:bottom w:val="none" w:sz="0" w:space="0" w:color="auto"/>
                <w:right w:val="none" w:sz="0" w:space="0" w:color="auto"/>
              </w:divBdr>
            </w:div>
          </w:divsChild>
        </w:div>
        <w:div w:id="499083614">
          <w:marLeft w:val="0"/>
          <w:marRight w:val="0"/>
          <w:marTop w:val="0"/>
          <w:marBottom w:val="0"/>
          <w:divBdr>
            <w:top w:val="none" w:sz="0" w:space="0" w:color="auto"/>
            <w:left w:val="none" w:sz="0" w:space="0" w:color="auto"/>
            <w:bottom w:val="none" w:sz="0" w:space="0" w:color="auto"/>
            <w:right w:val="none" w:sz="0" w:space="0" w:color="auto"/>
          </w:divBdr>
          <w:divsChild>
            <w:div w:id="1501505040">
              <w:marLeft w:val="75"/>
              <w:marRight w:val="150"/>
              <w:marTop w:val="45"/>
              <w:marBottom w:val="75"/>
              <w:divBdr>
                <w:top w:val="none" w:sz="0" w:space="0" w:color="auto"/>
                <w:left w:val="none" w:sz="0" w:space="0" w:color="auto"/>
                <w:bottom w:val="none" w:sz="0" w:space="0" w:color="auto"/>
                <w:right w:val="none" w:sz="0" w:space="0" w:color="auto"/>
              </w:divBdr>
            </w:div>
            <w:div w:id="1509178159">
              <w:marLeft w:val="300"/>
              <w:marRight w:val="150"/>
              <w:marTop w:val="75"/>
              <w:marBottom w:val="0"/>
              <w:divBdr>
                <w:top w:val="none" w:sz="0" w:space="0" w:color="auto"/>
                <w:left w:val="none" w:sz="0" w:space="0" w:color="auto"/>
                <w:bottom w:val="none" w:sz="0" w:space="0" w:color="auto"/>
                <w:right w:val="none" w:sz="0" w:space="0" w:color="auto"/>
              </w:divBdr>
            </w:div>
            <w:div w:id="357973494">
              <w:marLeft w:val="300"/>
              <w:marRight w:val="150"/>
              <w:marTop w:val="75"/>
              <w:marBottom w:val="0"/>
              <w:divBdr>
                <w:top w:val="none" w:sz="0" w:space="0" w:color="auto"/>
                <w:left w:val="none" w:sz="0" w:space="0" w:color="auto"/>
                <w:bottom w:val="none" w:sz="0" w:space="0" w:color="auto"/>
                <w:right w:val="none" w:sz="0" w:space="0" w:color="auto"/>
              </w:divBdr>
            </w:div>
          </w:divsChild>
        </w:div>
        <w:div w:id="1424912404">
          <w:marLeft w:val="0"/>
          <w:marRight w:val="0"/>
          <w:marTop w:val="75"/>
          <w:marBottom w:val="150"/>
          <w:divBdr>
            <w:top w:val="none" w:sz="0" w:space="0" w:color="auto"/>
            <w:left w:val="none" w:sz="0" w:space="0" w:color="auto"/>
            <w:bottom w:val="none" w:sz="0" w:space="0" w:color="auto"/>
            <w:right w:val="none" w:sz="0" w:space="0" w:color="auto"/>
          </w:divBdr>
        </w:div>
      </w:divsChild>
    </w:div>
    <w:div w:id="1995523142">
      <w:bodyDiv w:val="1"/>
      <w:marLeft w:val="0"/>
      <w:marRight w:val="0"/>
      <w:marTop w:val="0"/>
      <w:marBottom w:val="0"/>
      <w:divBdr>
        <w:top w:val="none" w:sz="0" w:space="0" w:color="auto"/>
        <w:left w:val="none" w:sz="0" w:space="0" w:color="auto"/>
        <w:bottom w:val="none" w:sz="0" w:space="0" w:color="auto"/>
        <w:right w:val="none" w:sz="0" w:space="0" w:color="auto"/>
      </w:divBdr>
      <w:divsChild>
        <w:div w:id="389959023">
          <w:marLeft w:val="0"/>
          <w:marRight w:val="0"/>
          <w:marTop w:val="150"/>
          <w:marBottom w:val="150"/>
          <w:divBdr>
            <w:top w:val="none" w:sz="0" w:space="0" w:color="auto"/>
            <w:left w:val="none" w:sz="0" w:space="0" w:color="auto"/>
            <w:bottom w:val="single" w:sz="6" w:space="0" w:color="CCCCCC"/>
            <w:right w:val="none" w:sz="0" w:space="0" w:color="auto"/>
          </w:divBdr>
          <w:divsChild>
            <w:div w:id="1605571199">
              <w:marLeft w:val="0"/>
              <w:marRight w:val="0"/>
              <w:marTop w:val="0"/>
              <w:marBottom w:val="0"/>
              <w:divBdr>
                <w:top w:val="none" w:sz="0" w:space="0" w:color="auto"/>
                <w:left w:val="none" w:sz="0" w:space="0" w:color="auto"/>
                <w:bottom w:val="none" w:sz="0" w:space="0" w:color="auto"/>
                <w:right w:val="none" w:sz="0" w:space="0" w:color="auto"/>
              </w:divBdr>
            </w:div>
          </w:divsChild>
        </w:div>
        <w:div w:id="964313947">
          <w:marLeft w:val="0"/>
          <w:marRight w:val="0"/>
          <w:marTop w:val="0"/>
          <w:marBottom w:val="0"/>
          <w:divBdr>
            <w:top w:val="none" w:sz="0" w:space="0" w:color="auto"/>
            <w:left w:val="none" w:sz="0" w:space="0" w:color="auto"/>
            <w:bottom w:val="none" w:sz="0" w:space="0" w:color="auto"/>
            <w:right w:val="none" w:sz="0" w:space="0" w:color="auto"/>
          </w:divBdr>
          <w:divsChild>
            <w:div w:id="1186332704">
              <w:marLeft w:val="75"/>
              <w:marRight w:val="150"/>
              <w:marTop w:val="45"/>
              <w:marBottom w:val="75"/>
              <w:divBdr>
                <w:top w:val="none" w:sz="0" w:space="0" w:color="auto"/>
                <w:left w:val="none" w:sz="0" w:space="0" w:color="auto"/>
                <w:bottom w:val="none" w:sz="0" w:space="0" w:color="auto"/>
                <w:right w:val="none" w:sz="0" w:space="0" w:color="auto"/>
              </w:divBdr>
            </w:div>
            <w:div w:id="1592468986">
              <w:marLeft w:val="300"/>
              <w:marRight w:val="150"/>
              <w:marTop w:val="75"/>
              <w:marBottom w:val="0"/>
              <w:divBdr>
                <w:top w:val="none" w:sz="0" w:space="0" w:color="auto"/>
                <w:left w:val="none" w:sz="0" w:space="0" w:color="auto"/>
                <w:bottom w:val="none" w:sz="0" w:space="0" w:color="auto"/>
                <w:right w:val="none" w:sz="0" w:space="0" w:color="auto"/>
              </w:divBdr>
            </w:div>
            <w:div w:id="1963923759">
              <w:marLeft w:val="300"/>
              <w:marRight w:val="150"/>
              <w:marTop w:val="75"/>
              <w:marBottom w:val="0"/>
              <w:divBdr>
                <w:top w:val="none" w:sz="0" w:space="0" w:color="auto"/>
                <w:left w:val="none" w:sz="0" w:space="0" w:color="auto"/>
                <w:bottom w:val="none" w:sz="0" w:space="0" w:color="auto"/>
                <w:right w:val="none" w:sz="0" w:space="0" w:color="auto"/>
              </w:divBdr>
            </w:div>
          </w:divsChild>
        </w:div>
        <w:div w:id="63918262">
          <w:marLeft w:val="0"/>
          <w:marRight w:val="0"/>
          <w:marTop w:val="75"/>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cgil.it/leggi-normative/documenti/decreti-legge/decreto-legge-36-del-30-aprile-2022-ulteriori-misure-urgenti-attuazione-piano-nazionale-ripresa-resilienza-pnrr.flc" TargetMode="External"/><Relationship Id="rId13" Type="http://schemas.openxmlformats.org/officeDocument/2006/relationships/hyperlink" Target="https://www.flcgil.it/leggi-normative/documenti/ordinanze-ministeriali/ordinanza-ministeriale-234-del-5-dicembre-2023-indizione-elezioni-consiglio-superiore-pubblica-istruzione-cspi-7-maggio-2024.flc" TargetMode="External"/><Relationship Id="rId3" Type="http://schemas.openxmlformats.org/officeDocument/2006/relationships/settings" Target="settings.xml"/><Relationship Id="rId7" Type="http://schemas.openxmlformats.org/officeDocument/2006/relationships/hyperlink" Target="https://www.flcgil.it/leggi-normative/documenti/decreti-legge/decreto-legge-36-del-30-aprile-2022-ulteriori-misure-urgenti-attuazione-piano-nazionale-ripresa-resilienza-pnrr.flc" TargetMode="External"/><Relationship Id="rId12" Type="http://schemas.openxmlformats.org/officeDocument/2006/relationships/hyperlink" Target="https://www.flcgil.it/scuola/elezioni-cspi-si-vota-7-maggio-2024-liste-e-candidature.fl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lcgil.it/leggi-normative/documenti/decreti-legge/decreto-legge-36-del-30-aprile-2022-ulteriori-misure-urgenti-attuazione-piano-nazionale-ripresa-resilienza-pnrr.flc" TargetMode="External"/><Relationship Id="rId11" Type="http://schemas.openxmlformats.org/officeDocument/2006/relationships/hyperlink" Target="https://www.flcgil.it/scuola/scuola-conto-consuntivo-2023-la-flc-cgil-ha-chiesto-la-proroga-dei-termini.flc" TargetMode="External"/><Relationship Id="rId5" Type="http://schemas.openxmlformats.org/officeDocument/2006/relationships/hyperlink" Target="https://www.flcgil.it/leggi-normative/documenti/decreti-interministeriali/decreto-interministeriale-del-29-dicembre-2023-modalita-valutazione-percorsi-formazione-incentivata-personale-docente.flc" TargetMode="External"/><Relationship Id="rId15" Type="http://schemas.openxmlformats.org/officeDocument/2006/relationships/fontTable" Target="fontTable.xml"/><Relationship Id="rId10" Type="http://schemas.openxmlformats.org/officeDocument/2006/relationships/hyperlink" Target="https://www.flcgil.it/leggi-normative/documenti/note-ministeriali/nota-8259-del-14-marzo-2024-proroga-predisposizione-ed-approvazione-conto-consuntivo-2023.flc" TargetMode="External"/><Relationship Id="rId4" Type="http://schemas.openxmlformats.org/officeDocument/2006/relationships/webSettings" Target="webSettings.xml"/><Relationship Id="rId9" Type="http://schemas.openxmlformats.org/officeDocument/2006/relationships/hyperlink" Target="https://www.flcgil.it/scuola/ata/personale-ata-confronto-su-posizioni-economiche-e-passaggi-di-area.flc" TargetMode="External"/><Relationship Id="rId14" Type="http://schemas.openxmlformats.org/officeDocument/2006/relationships/hyperlink" Target="https://www.flcgil.it/scuola/cspi-ex-cnpi-la-flc-cgil-vince-di-nuovo-il-consiglio-di-stato-ordina-l-indizione-delle-elezioni.fl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1941</Words>
  <Characters>11069</Characters>
  <Application>Microsoft Office Word</Application>
  <DocSecurity>0</DocSecurity>
  <Lines>92</Lines>
  <Paragraphs>25</Paragraphs>
  <ScaleCrop>false</ScaleCrop>
  <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FLC Cgil Imperia</dc:creator>
  <cp:keywords/>
  <dc:description/>
  <cp:lastModifiedBy>FLC Cgil Imperia</cp:lastModifiedBy>
  <cp:revision>2</cp:revision>
  <dcterms:created xsi:type="dcterms:W3CDTF">2024-03-15T07:29:00Z</dcterms:created>
  <dcterms:modified xsi:type="dcterms:W3CDTF">2024-03-15T13:36:00Z</dcterms:modified>
</cp:coreProperties>
</file>