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9FFBC" w14:textId="77777777" w:rsidR="00DF598B" w:rsidRPr="00DF598B" w:rsidRDefault="00DF598B"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F598B">
        <w:rPr>
          <w:rFonts w:ascii="Tahoma" w:eastAsia="Times New Roman" w:hAnsi="Tahoma" w:cs="Tahoma"/>
          <w:color w:val="DC3B33"/>
          <w:kern w:val="36"/>
          <w:sz w:val="45"/>
          <w:szCs w:val="45"/>
          <w:lang w:eastAsia="it-IT"/>
          <w14:ligatures w14:val="none"/>
        </w:rPr>
        <w:t xml:space="preserve">Scuola, </w:t>
      </w:r>
      <w:proofErr w:type="spellStart"/>
      <w:r w:rsidRPr="00DF598B">
        <w:rPr>
          <w:rFonts w:ascii="Tahoma" w:eastAsia="Times New Roman" w:hAnsi="Tahoma" w:cs="Tahoma"/>
          <w:color w:val="DC3B33"/>
          <w:kern w:val="36"/>
          <w:sz w:val="45"/>
          <w:szCs w:val="45"/>
          <w:lang w:eastAsia="it-IT"/>
          <w14:ligatures w14:val="none"/>
        </w:rPr>
        <w:t>Flc</w:t>
      </w:r>
      <w:proofErr w:type="spellEnd"/>
      <w:r w:rsidRPr="00DF598B">
        <w:rPr>
          <w:rFonts w:ascii="Tahoma" w:eastAsia="Times New Roman" w:hAnsi="Tahoma" w:cs="Tahoma"/>
          <w:color w:val="DC3B33"/>
          <w:kern w:val="36"/>
          <w:sz w:val="45"/>
          <w:szCs w:val="45"/>
          <w:lang w:eastAsia="it-IT"/>
          <w14:ligatures w14:val="none"/>
        </w:rPr>
        <w:t xml:space="preserve"> la più votata al </w:t>
      </w:r>
      <w:proofErr w:type="spellStart"/>
      <w:r w:rsidRPr="00DF598B">
        <w:rPr>
          <w:rFonts w:ascii="Tahoma" w:eastAsia="Times New Roman" w:hAnsi="Tahoma" w:cs="Tahoma"/>
          <w:color w:val="DC3B33"/>
          <w:kern w:val="36"/>
          <w:sz w:val="45"/>
          <w:szCs w:val="45"/>
          <w:lang w:eastAsia="it-IT"/>
          <w14:ligatures w14:val="none"/>
        </w:rPr>
        <w:t>Cspi</w:t>
      </w:r>
      <w:proofErr w:type="spellEnd"/>
    </w:p>
    <w:p w14:paraId="17D4A7F1" w14:textId="77777777" w:rsidR="00DF598B" w:rsidRPr="00DF598B" w:rsidRDefault="00DF598B" w:rsidP="00DF598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F598B">
        <w:rPr>
          <w:rFonts w:ascii="Arial" w:eastAsia="Times New Roman" w:hAnsi="Arial" w:cs="Arial"/>
          <w:color w:val="535353"/>
          <w:kern w:val="0"/>
          <w:sz w:val="27"/>
          <w:szCs w:val="27"/>
          <w:lang w:eastAsia="it-IT"/>
          <w14:ligatures w14:val="none"/>
        </w:rPr>
        <w:t>Un votante su quattro ha scelto il sindacato della conoscenza della Cgil per le elezioni al Consiglio superiore della pubblica istruzione. Ma il meccanismo è poco trasparente</w:t>
      </w:r>
    </w:p>
    <w:p w14:paraId="543B7774" w14:textId="77777777" w:rsidR="00DF598B" w:rsidRPr="00DF598B" w:rsidRDefault="00DF598B" w:rsidP="00DF598B">
      <w:pPr>
        <w:shd w:val="clear" w:color="auto" w:fill="FFFFFF"/>
        <w:spacing w:after="0" w:line="240" w:lineRule="auto"/>
        <w:rPr>
          <w:rFonts w:ascii="Arial" w:eastAsia="Times New Roman" w:hAnsi="Arial" w:cs="Arial"/>
          <w:color w:val="4D4D4D"/>
          <w:kern w:val="0"/>
          <w:sz w:val="21"/>
          <w:szCs w:val="21"/>
          <w:lang w:eastAsia="it-IT"/>
          <w14:ligatures w14:val="none"/>
        </w:rPr>
      </w:pPr>
      <w:r w:rsidRPr="00DF598B">
        <w:rPr>
          <w:rFonts w:ascii="Arial" w:eastAsia="Times New Roman" w:hAnsi="Arial" w:cs="Arial"/>
          <w:b/>
          <w:bCs/>
          <w:color w:val="4D4D4D"/>
          <w:kern w:val="0"/>
          <w:sz w:val="21"/>
          <w:szCs w:val="21"/>
          <w:lang w:eastAsia="it-IT"/>
          <w14:ligatures w14:val="none"/>
        </w:rPr>
        <w:t>19/06/2024</w:t>
      </w:r>
    </w:p>
    <w:p w14:paraId="53D81C91" w14:textId="77777777" w:rsidR="00DF598B" w:rsidRDefault="00DF598B" w:rsidP="00DF598B">
      <w:pPr>
        <w:shd w:val="clear" w:color="auto" w:fill="FFFFFF"/>
        <w:spacing w:after="0" w:line="240" w:lineRule="auto"/>
        <w:rPr>
          <w:rFonts w:ascii="Arial" w:eastAsia="Times New Roman" w:hAnsi="Arial" w:cs="Arial"/>
          <w:color w:val="000000"/>
          <w:kern w:val="0"/>
          <w:sz w:val="2"/>
          <w:szCs w:val="2"/>
          <w:lang w:eastAsia="it-IT"/>
          <w14:ligatures w14:val="none"/>
        </w:rPr>
      </w:pPr>
    </w:p>
    <w:p w14:paraId="5AE6FA31" w14:textId="1AC35D1F" w:rsidR="00DF598B" w:rsidRPr="00DF598B" w:rsidRDefault="00DF598B" w:rsidP="00DF598B">
      <w:pPr>
        <w:shd w:val="clear" w:color="auto" w:fill="FFFFFF"/>
        <w:spacing w:after="0" w:line="240" w:lineRule="auto"/>
        <w:rPr>
          <w:rFonts w:ascii="Arial" w:eastAsia="Times New Roman" w:hAnsi="Arial" w:cs="Arial"/>
          <w:color w:val="000000"/>
          <w:kern w:val="0"/>
          <w:sz w:val="2"/>
          <w:szCs w:val="2"/>
          <w:lang w:eastAsia="it-IT"/>
          <w14:ligatures w14:val="none"/>
        </w:rPr>
      </w:pPr>
      <w:r w:rsidRPr="00DF598B">
        <w:rPr>
          <w:rFonts w:ascii="Arial" w:eastAsia="Times New Roman" w:hAnsi="Arial" w:cs="Arial"/>
          <w:color w:val="000000"/>
          <w:kern w:val="0"/>
          <w:sz w:val="2"/>
          <w:szCs w:val="2"/>
          <w:lang w:eastAsia="it-IT"/>
          <w14:ligatures w14:val="none"/>
        </w:rPr>
        <w:t>Collettiva.it</w:t>
      </w:r>
    </w:p>
    <w:p w14:paraId="5F7808D0" w14:textId="77777777" w:rsid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A190B94" w14:textId="24CCCA42"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 xml:space="preserve">Con grande ritardo, a ben 42 giorni dallo svolgimento delle votazioni per il rinnovo del </w:t>
      </w:r>
      <w:proofErr w:type="spellStart"/>
      <w:r w:rsidRPr="00DF598B">
        <w:rPr>
          <w:rFonts w:ascii="Arial" w:eastAsia="Times New Roman" w:hAnsi="Arial" w:cs="Arial"/>
          <w:color w:val="000000"/>
          <w:kern w:val="0"/>
          <w:sz w:val="21"/>
          <w:szCs w:val="21"/>
          <w:lang w:eastAsia="it-IT"/>
          <w14:ligatures w14:val="none"/>
        </w:rPr>
        <w:t>Cspi</w:t>
      </w:r>
      <w:proofErr w:type="spellEnd"/>
      <w:r w:rsidRPr="00DF598B">
        <w:rPr>
          <w:rFonts w:ascii="Arial" w:eastAsia="Times New Roman" w:hAnsi="Arial" w:cs="Arial"/>
          <w:color w:val="000000"/>
          <w:kern w:val="0"/>
          <w:sz w:val="21"/>
          <w:szCs w:val="21"/>
          <w:lang w:eastAsia="it-IT"/>
          <w14:ligatures w14:val="none"/>
        </w:rPr>
        <w:t xml:space="preserve"> (il </w:t>
      </w:r>
      <w:r w:rsidRPr="00DF598B">
        <w:rPr>
          <w:rFonts w:ascii="Arial" w:eastAsia="Times New Roman" w:hAnsi="Arial" w:cs="Arial"/>
          <w:b/>
          <w:bCs/>
          <w:color w:val="000000"/>
          <w:kern w:val="0"/>
          <w:sz w:val="21"/>
          <w:szCs w:val="21"/>
          <w:lang w:eastAsia="it-IT"/>
          <w14:ligatures w14:val="none"/>
        </w:rPr>
        <w:t>Consiglio superiore della pubblica istruzione), la commissione elettorale centrale ha comunicato ai rappresentanti delle liste i risultati delle votazioni che si sono svolte il 7 maggio scorso. </w:t>
      </w:r>
      <w:r w:rsidRPr="00DF598B">
        <w:rPr>
          <w:rFonts w:ascii="Arial" w:eastAsia="Times New Roman" w:hAnsi="Arial" w:cs="Arial"/>
          <w:color w:val="000000"/>
          <w:kern w:val="0"/>
          <w:sz w:val="21"/>
          <w:szCs w:val="21"/>
          <w:lang w:eastAsia="it-IT"/>
          <w14:ligatures w14:val="none"/>
        </w:rPr>
        <w:t xml:space="preserve">La </w:t>
      </w:r>
      <w:proofErr w:type="spellStart"/>
      <w:r w:rsidRPr="00DF598B">
        <w:rPr>
          <w:rFonts w:ascii="Arial" w:eastAsia="Times New Roman" w:hAnsi="Arial" w:cs="Arial"/>
          <w:color w:val="000000"/>
          <w:kern w:val="0"/>
          <w:sz w:val="21"/>
          <w:szCs w:val="21"/>
          <w:lang w:eastAsia="it-IT"/>
          <w14:ligatures w14:val="none"/>
        </w:rPr>
        <w:t>Flc</w:t>
      </w:r>
      <w:proofErr w:type="spellEnd"/>
      <w:r w:rsidRPr="00DF598B">
        <w:rPr>
          <w:rFonts w:ascii="Arial" w:eastAsia="Times New Roman" w:hAnsi="Arial" w:cs="Arial"/>
          <w:color w:val="000000"/>
          <w:kern w:val="0"/>
          <w:sz w:val="21"/>
          <w:szCs w:val="21"/>
          <w:lang w:eastAsia="it-IT"/>
          <w14:ligatures w14:val="none"/>
        </w:rPr>
        <w:t xml:space="preserve"> Cgil è il sindacato più votato con oltre 130.000 voti su 529.226 votanti, incrementando ulteriormente il numero dei consensi rispetto al risultato eccezionale del 2015.</w:t>
      </w:r>
    </w:p>
    <w:p w14:paraId="5DDE2E8A"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b/>
          <w:bCs/>
          <w:color w:val="000000"/>
          <w:kern w:val="0"/>
          <w:sz w:val="21"/>
          <w:szCs w:val="21"/>
          <w:lang w:eastAsia="it-IT"/>
          <w14:ligatures w14:val="none"/>
        </w:rPr>
        <w:t>Un elettore su quattro</w:t>
      </w:r>
      <w:r w:rsidRPr="00DF598B">
        <w:rPr>
          <w:rFonts w:ascii="Arial" w:eastAsia="Times New Roman" w:hAnsi="Arial" w:cs="Arial"/>
          <w:color w:val="000000"/>
          <w:kern w:val="0"/>
          <w:sz w:val="21"/>
          <w:szCs w:val="21"/>
          <w:lang w:eastAsia="it-IT"/>
          <w14:ligatures w14:val="none"/>
        </w:rPr>
        <w:t xml:space="preserve"> ha dunque votato la </w:t>
      </w:r>
      <w:proofErr w:type="spellStart"/>
      <w:r w:rsidRPr="00DF598B">
        <w:rPr>
          <w:rFonts w:ascii="Arial" w:eastAsia="Times New Roman" w:hAnsi="Arial" w:cs="Arial"/>
          <w:color w:val="000000"/>
          <w:kern w:val="0"/>
          <w:sz w:val="21"/>
          <w:szCs w:val="21"/>
          <w:lang w:eastAsia="it-IT"/>
          <w14:ligatures w14:val="none"/>
        </w:rPr>
        <w:t>Flc</w:t>
      </w:r>
      <w:proofErr w:type="spellEnd"/>
      <w:r w:rsidRPr="00DF598B">
        <w:rPr>
          <w:rFonts w:ascii="Arial" w:eastAsia="Times New Roman" w:hAnsi="Arial" w:cs="Arial"/>
          <w:color w:val="000000"/>
          <w:kern w:val="0"/>
          <w:sz w:val="21"/>
          <w:szCs w:val="21"/>
          <w:lang w:eastAsia="it-IT"/>
          <w14:ligatures w14:val="none"/>
        </w:rPr>
        <w:t xml:space="preserve"> Cgil e questo risultato, si legge in una nota, “premia la coerenza delle nostre azioni e il nostro costante impegno nei precedenti 9 anni di Consiglio”.</w:t>
      </w:r>
    </w:p>
    <w:p w14:paraId="2FAC550D"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Tuttavia, “il meccanismo elettorale che fraziona il risultato per componente non ci riconosce pienamente il valore straordinario del risultato, permettendoci di eleggere quattro consiglieri”. Non solo: “Questo straordinario esercizio democratico è stato mortificato da numerosi errori nei conteggi, da ritardi, omissioni, </w:t>
      </w:r>
      <w:r w:rsidRPr="00DF598B">
        <w:rPr>
          <w:rFonts w:ascii="Arial" w:eastAsia="Times New Roman" w:hAnsi="Arial" w:cs="Arial"/>
          <w:b/>
          <w:bCs/>
          <w:color w:val="000000"/>
          <w:kern w:val="0"/>
          <w:sz w:val="21"/>
          <w:szCs w:val="21"/>
          <w:lang w:eastAsia="it-IT"/>
          <w14:ligatures w14:val="none"/>
        </w:rPr>
        <w:t>scarsa trasparenza nella condivisione dei risultati </w:t>
      </w:r>
      <w:r w:rsidRPr="00DF598B">
        <w:rPr>
          <w:rFonts w:ascii="Arial" w:eastAsia="Times New Roman" w:hAnsi="Arial" w:cs="Arial"/>
          <w:color w:val="000000"/>
          <w:kern w:val="0"/>
          <w:sz w:val="21"/>
          <w:szCs w:val="21"/>
          <w:lang w:eastAsia="it-IT"/>
          <w14:ligatures w14:val="none"/>
        </w:rPr>
        <w:t>e da comportamenti opachi nei seggi. Continueremo quindi a vigilare ed approfondire per garantire che l’esercizio delle pratiche democratiche si possa svolgere nella piena legalità.</w:t>
      </w:r>
    </w:p>
    <w:p w14:paraId="0147A34D"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w:t>
      </w:r>
      <w:r w:rsidRPr="00DF598B">
        <w:rPr>
          <w:rFonts w:ascii="Arial" w:eastAsia="Times New Roman" w:hAnsi="Arial" w:cs="Arial"/>
          <w:b/>
          <w:bCs/>
          <w:color w:val="000000"/>
          <w:kern w:val="0"/>
          <w:sz w:val="21"/>
          <w:szCs w:val="21"/>
          <w:lang w:eastAsia="it-IT"/>
          <w14:ligatures w14:val="none"/>
        </w:rPr>
        <w:t>Desideriamo ringraziare</w:t>
      </w:r>
      <w:r w:rsidRPr="00DF598B">
        <w:rPr>
          <w:rFonts w:ascii="Arial" w:eastAsia="Times New Roman" w:hAnsi="Arial" w:cs="Arial"/>
          <w:color w:val="000000"/>
          <w:kern w:val="0"/>
          <w:sz w:val="21"/>
          <w:szCs w:val="21"/>
          <w:lang w:eastAsia="it-IT"/>
          <w14:ligatures w14:val="none"/>
        </w:rPr>
        <w:t xml:space="preserve"> tutti i lavoratori e le lavoratrici che ci hanno dato fiducia e hanno scelto la nostra organizzazione e, alla luce della avvenuta proclamazione degli eletti, ci auguriamo che il Consiglio sia attivo fin dal primo settembre 2024”, conclude la </w:t>
      </w:r>
      <w:proofErr w:type="spellStart"/>
      <w:r w:rsidRPr="00DF598B">
        <w:rPr>
          <w:rFonts w:ascii="Arial" w:eastAsia="Times New Roman" w:hAnsi="Arial" w:cs="Arial"/>
          <w:color w:val="000000"/>
          <w:kern w:val="0"/>
          <w:sz w:val="21"/>
          <w:szCs w:val="21"/>
          <w:lang w:eastAsia="it-IT"/>
          <w14:ligatures w14:val="none"/>
        </w:rPr>
        <w:t>Flc</w:t>
      </w:r>
      <w:proofErr w:type="spellEnd"/>
    </w:p>
    <w:p w14:paraId="0807F496" w14:textId="77777777" w:rsidR="00DF598B" w:rsidRPr="00DF598B" w:rsidRDefault="00DF598B"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F598B">
        <w:rPr>
          <w:rFonts w:ascii="Tahoma" w:eastAsia="Times New Roman" w:hAnsi="Tahoma" w:cs="Tahoma"/>
          <w:color w:val="DC3B33"/>
          <w:kern w:val="36"/>
          <w:sz w:val="45"/>
          <w:szCs w:val="45"/>
          <w:lang w:eastAsia="it-IT"/>
          <w14:ligatures w14:val="none"/>
        </w:rPr>
        <w:t>Posizioni economiche ATA: accelerare sulla costituzione del fondo (137 milioni di euro)</w:t>
      </w:r>
    </w:p>
    <w:p w14:paraId="343ED5DE" w14:textId="77777777" w:rsidR="00DF598B" w:rsidRPr="00DF598B" w:rsidRDefault="00DF598B" w:rsidP="00DF598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F598B">
        <w:rPr>
          <w:rFonts w:ascii="Arial" w:eastAsia="Times New Roman" w:hAnsi="Arial" w:cs="Arial"/>
          <w:color w:val="535353"/>
          <w:kern w:val="0"/>
          <w:sz w:val="27"/>
          <w:szCs w:val="27"/>
          <w:lang w:eastAsia="it-IT"/>
          <w14:ligatures w14:val="none"/>
        </w:rPr>
        <w:t>Siamo intervenuti presso il Ministero dell’Istruzione perché sia data piena attuazione al CCNL 2019-2021. Abbiamo ottenuto assicurazioni in merito. Nel giro di pochi mesi circa 50 mila nuovi lavoratori si vedranno riconosciute le posizioni economiche</w:t>
      </w:r>
    </w:p>
    <w:p w14:paraId="699F620A" w14:textId="77777777" w:rsidR="00DF598B" w:rsidRPr="00DF598B" w:rsidRDefault="00DF598B" w:rsidP="00DF598B">
      <w:pPr>
        <w:shd w:val="clear" w:color="auto" w:fill="FFFFFF"/>
        <w:spacing w:after="0" w:line="240" w:lineRule="auto"/>
        <w:rPr>
          <w:rFonts w:ascii="Arial" w:eastAsia="Times New Roman" w:hAnsi="Arial" w:cs="Arial"/>
          <w:color w:val="4D4D4D"/>
          <w:kern w:val="0"/>
          <w:sz w:val="21"/>
          <w:szCs w:val="21"/>
          <w:lang w:eastAsia="it-IT"/>
          <w14:ligatures w14:val="none"/>
        </w:rPr>
      </w:pPr>
      <w:r w:rsidRPr="00DF598B">
        <w:rPr>
          <w:rFonts w:ascii="Arial" w:eastAsia="Times New Roman" w:hAnsi="Arial" w:cs="Arial"/>
          <w:b/>
          <w:bCs/>
          <w:color w:val="4D4D4D"/>
          <w:kern w:val="0"/>
          <w:sz w:val="21"/>
          <w:szCs w:val="21"/>
          <w:lang w:eastAsia="it-IT"/>
          <w14:ligatures w14:val="none"/>
        </w:rPr>
        <w:t>20/06/2024</w:t>
      </w:r>
    </w:p>
    <w:p w14:paraId="2B96AAE7" w14:textId="77777777" w:rsid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4CCBEE1" w14:textId="3F9AAAC9"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w:t>
      </w:r>
      <w:r w:rsidRPr="00DF598B">
        <w:rPr>
          <w:rFonts w:ascii="Arial" w:eastAsia="Times New Roman" w:hAnsi="Arial" w:cs="Arial"/>
          <w:b/>
          <w:bCs/>
          <w:color w:val="000000"/>
          <w:kern w:val="0"/>
          <w:sz w:val="21"/>
          <w:szCs w:val="21"/>
          <w:lang w:eastAsia="it-IT"/>
          <w14:ligatures w14:val="none"/>
        </w:rPr>
        <w:t>articolo 79 </w:t>
      </w:r>
      <w:r w:rsidRPr="00DF598B">
        <w:rPr>
          <w:rFonts w:ascii="Arial" w:eastAsia="Times New Roman" w:hAnsi="Arial" w:cs="Arial"/>
          <w:color w:val="000000"/>
          <w:kern w:val="0"/>
          <w:sz w:val="21"/>
          <w:szCs w:val="21"/>
          <w:lang w:eastAsia="it-IT"/>
          <w14:ligatures w14:val="none"/>
        </w:rPr>
        <w:t>del </w:t>
      </w:r>
      <w:hyperlink r:id="rId5" w:tgtFrame="_blank" w:history="1">
        <w:r w:rsidRPr="00DF598B">
          <w:rPr>
            <w:rFonts w:ascii="Arial" w:eastAsia="Times New Roman" w:hAnsi="Arial" w:cs="Arial"/>
            <w:color w:val="005EB3"/>
            <w:kern w:val="0"/>
            <w:sz w:val="21"/>
            <w:szCs w:val="21"/>
            <w:lang w:eastAsia="it-IT"/>
            <w14:ligatures w14:val="none"/>
          </w:rPr>
          <w:t>CCNL 2019-2021</w:t>
        </w:r>
      </w:hyperlink>
      <w:r w:rsidRPr="00DF598B">
        <w:rPr>
          <w:rFonts w:ascii="Arial" w:eastAsia="Times New Roman" w:hAnsi="Arial" w:cs="Arial"/>
          <w:color w:val="000000"/>
          <w:kern w:val="0"/>
          <w:sz w:val="21"/>
          <w:szCs w:val="21"/>
          <w:lang w:eastAsia="it-IT"/>
          <w14:ligatures w14:val="none"/>
        </w:rPr>
        <w:t> ha previsto la costituzione di un </w:t>
      </w:r>
      <w:r w:rsidRPr="00DF598B">
        <w:rPr>
          <w:rFonts w:ascii="Arial" w:eastAsia="Times New Roman" w:hAnsi="Arial" w:cs="Arial"/>
          <w:b/>
          <w:bCs/>
          <w:color w:val="000000"/>
          <w:kern w:val="0"/>
          <w:sz w:val="21"/>
          <w:szCs w:val="21"/>
          <w:lang w:eastAsia="it-IT"/>
          <w14:ligatures w14:val="none"/>
        </w:rPr>
        <w:t>fondo</w:t>
      </w:r>
      <w:r w:rsidRPr="00DF598B">
        <w:rPr>
          <w:rFonts w:ascii="Arial" w:eastAsia="Times New Roman" w:hAnsi="Arial" w:cs="Arial"/>
          <w:color w:val="000000"/>
          <w:kern w:val="0"/>
          <w:sz w:val="21"/>
          <w:szCs w:val="21"/>
          <w:lang w:eastAsia="it-IT"/>
          <w14:ligatures w14:val="none"/>
        </w:rPr>
        <w:t> relativo alle </w:t>
      </w:r>
      <w:r w:rsidRPr="00DF598B">
        <w:rPr>
          <w:rFonts w:ascii="Arial" w:eastAsia="Times New Roman" w:hAnsi="Arial" w:cs="Arial"/>
          <w:b/>
          <w:bCs/>
          <w:color w:val="000000"/>
          <w:kern w:val="0"/>
          <w:sz w:val="21"/>
          <w:szCs w:val="21"/>
          <w:lang w:eastAsia="it-IT"/>
          <w14:ligatures w14:val="none"/>
        </w:rPr>
        <w:t>posizioni economiche del personale ATA</w:t>
      </w:r>
      <w:r w:rsidRPr="00DF598B">
        <w:rPr>
          <w:rFonts w:ascii="Arial" w:eastAsia="Times New Roman" w:hAnsi="Arial" w:cs="Arial"/>
          <w:color w:val="000000"/>
          <w:kern w:val="0"/>
          <w:sz w:val="21"/>
          <w:szCs w:val="21"/>
          <w:lang w:eastAsia="it-IT"/>
          <w14:ligatures w14:val="none"/>
        </w:rPr>
        <w:t>, in tutto </w:t>
      </w:r>
      <w:r w:rsidRPr="00DF598B">
        <w:rPr>
          <w:rFonts w:ascii="Arial" w:eastAsia="Times New Roman" w:hAnsi="Arial" w:cs="Arial"/>
          <w:b/>
          <w:bCs/>
          <w:color w:val="000000"/>
          <w:kern w:val="0"/>
          <w:sz w:val="21"/>
          <w:szCs w:val="21"/>
          <w:lang w:eastAsia="it-IT"/>
          <w14:ligatures w14:val="none"/>
        </w:rPr>
        <w:t>137 milioni di euro</w:t>
      </w:r>
      <w:r w:rsidRPr="00DF598B">
        <w:rPr>
          <w:rFonts w:ascii="Arial" w:eastAsia="Times New Roman" w:hAnsi="Arial" w:cs="Arial"/>
          <w:color w:val="000000"/>
          <w:kern w:val="0"/>
          <w:sz w:val="21"/>
          <w:szCs w:val="21"/>
          <w:lang w:eastAsia="it-IT"/>
          <w14:ligatures w14:val="none"/>
        </w:rPr>
        <w:t>. È importante sottolineare che la costituzione di questo fondo è un </w:t>
      </w:r>
      <w:r w:rsidRPr="00DF598B">
        <w:rPr>
          <w:rFonts w:ascii="Arial" w:eastAsia="Times New Roman" w:hAnsi="Arial" w:cs="Arial"/>
          <w:b/>
          <w:bCs/>
          <w:color w:val="000000"/>
          <w:kern w:val="0"/>
          <w:sz w:val="21"/>
          <w:szCs w:val="21"/>
          <w:lang w:eastAsia="it-IT"/>
          <w14:ligatures w14:val="none"/>
        </w:rPr>
        <w:t>atto preliminare</w:t>
      </w:r>
      <w:r w:rsidRPr="00DF598B">
        <w:rPr>
          <w:rFonts w:ascii="Arial" w:eastAsia="Times New Roman" w:hAnsi="Arial" w:cs="Arial"/>
          <w:color w:val="000000"/>
          <w:kern w:val="0"/>
          <w:sz w:val="21"/>
          <w:szCs w:val="21"/>
          <w:lang w:eastAsia="it-IT"/>
          <w14:ligatures w14:val="none"/>
        </w:rPr>
        <w:t> per l’</w:t>
      </w:r>
      <w:r w:rsidRPr="00DF598B">
        <w:rPr>
          <w:rFonts w:ascii="Arial" w:eastAsia="Times New Roman" w:hAnsi="Arial" w:cs="Arial"/>
          <w:b/>
          <w:bCs/>
          <w:color w:val="000000"/>
          <w:kern w:val="0"/>
          <w:sz w:val="21"/>
          <w:szCs w:val="21"/>
          <w:lang w:eastAsia="it-IT"/>
          <w14:ligatures w14:val="none"/>
        </w:rPr>
        <w:t>attribuzione delle nuove posizioni economiche</w:t>
      </w:r>
      <w:r w:rsidRPr="00DF598B">
        <w:rPr>
          <w:rFonts w:ascii="Arial" w:eastAsia="Times New Roman" w:hAnsi="Arial" w:cs="Arial"/>
          <w:color w:val="000000"/>
          <w:kern w:val="0"/>
          <w:sz w:val="21"/>
          <w:szCs w:val="21"/>
          <w:lang w:eastAsia="it-IT"/>
          <w14:ligatures w14:val="none"/>
        </w:rPr>
        <w:t> (articolo 52 del CCNL 2019-2021).</w:t>
      </w:r>
    </w:p>
    <w:p w14:paraId="7DC3A390"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Per questo </w:t>
      </w:r>
      <w:r w:rsidRPr="00DF598B">
        <w:rPr>
          <w:rFonts w:ascii="Arial" w:eastAsia="Times New Roman" w:hAnsi="Arial" w:cs="Arial"/>
          <w:b/>
          <w:bCs/>
          <w:color w:val="000000"/>
          <w:kern w:val="0"/>
          <w:sz w:val="21"/>
          <w:szCs w:val="21"/>
          <w:lang w:eastAsia="it-IT"/>
          <w14:ligatures w14:val="none"/>
        </w:rPr>
        <w:t>siamo intervenuti</w:t>
      </w:r>
      <w:r w:rsidRPr="00DF598B">
        <w:rPr>
          <w:rFonts w:ascii="Arial" w:eastAsia="Times New Roman" w:hAnsi="Arial" w:cs="Arial"/>
          <w:color w:val="000000"/>
          <w:kern w:val="0"/>
          <w:sz w:val="21"/>
          <w:szCs w:val="21"/>
          <w:lang w:eastAsia="it-IT"/>
          <w14:ligatures w14:val="none"/>
        </w:rPr>
        <w:t> presso il Ministero dell’Istruzione e del Merito al fine di </w:t>
      </w:r>
      <w:r w:rsidRPr="00DF598B">
        <w:rPr>
          <w:rFonts w:ascii="Arial" w:eastAsia="Times New Roman" w:hAnsi="Arial" w:cs="Arial"/>
          <w:b/>
          <w:bCs/>
          <w:color w:val="000000"/>
          <w:kern w:val="0"/>
          <w:sz w:val="21"/>
          <w:szCs w:val="21"/>
          <w:lang w:eastAsia="it-IT"/>
          <w14:ligatures w14:val="none"/>
        </w:rPr>
        <w:t>accelerare i tempi dell’iter di controllo</w:t>
      </w:r>
      <w:r w:rsidRPr="00DF598B">
        <w:rPr>
          <w:rFonts w:ascii="Arial" w:eastAsia="Times New Roman" w:hAnsi="Arial" w:cs="Arial"/>
          <w:color w:val="000000"/>
          <w:kern w:val="0"/>
          <w:sz w:val="21"/>
          <w:szCs w:val="21"/>
          <w:lang w:eastAsia="it-IT"/>
          <w14:ligatures w14:val="none"/>
        </w:rPr>
        <w:t> affidato al Ministero dell’Economia e delle Finanze, così che il fondo possa essere istituito. Abbiamo appreso che il MEF ha dato il via libera alla proposta del MIM.</w:t>
      </w:r>
    </w:p>
    <w:p w14:paraId="5566C5BF"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La </w:t>
      </w:r>
      <w:r w:rsidRPr="00DF598B">
        <w:rPr>
          <w:rFonts w:ascii="Arial" w:eastAsia="Times New Roman" w:hAnsi="Arial" w:cs="Arial"/>
          <w:b/>
          <w:bCs/>
          <w:color w:val="000000"/>
          <w:kern w:val="0"/>
          <w:sz w:val="21"/>
          <w:szCs w:val="21"/>
          <w:lang w:eastAsia="it-IT"/>
          <w14:ligatures w14:val="none"/>
        </w:rPr>
        <w:t>procedura selettiva</w:t>
      </w:r>
      <w:r w:rsidRPr="00DF598B">
        <w:rPr>
          <w:rFonts w:ascii="Arial" w:eastAsia="Times New Roman" w:hAnsi="Arial" w:cs="Arial"/>
          <w:color w:val="000000"/>
          <w:kern w:val="0"/>
          <w:sz w:val="21"/>
          <w:szCs w:val="21"/>
          <w:lang w:eastAsia="it-IT"/>
          <w14:ligatures w14:val="none"/>
        </w:rPr>
        <w:t> di attribuzione delle </w:t>
      </w:r>
      <w:r w:rsidRPr="00DF598B">
        <w:rPr>
          <w:rFonts w:ascii="Arial" w:eastAsia="Times New Roman" w:hAnsi="Arial" w:cs="Arial"/>
          <w:b/>
          <w:bCs/>
          <w:color w:val="000000"/>
          <w:kern w:val="0"/>
          <w:sz w:val="21"/>
          <w:szCs w:val="21"/>
          <w:lang w:eastAsia="it-IT"/>
          <w14:ligatures w14:val="none"/>
        </w:rPr>
        <w:t>nuove posizioni economiche</w:t>
      </w:r>
      <w:r w:rsidRPr="00DF598B">
        <w:rPr>
          <w:rFonts w:ascii="Arial" w:eastAsia="Times New Roman" w:hAnsi="Arial" w:cs="Arial"/>
          <w:color w:val="000000"/>
          <w:kern w:val="0"/>
          <w:sz w:val="21"/>
          <w:szCs w:val="21"/>
          <w:lang w:eastAsia="it-IT"/>
          <w14:ligatures w14:val="none"/>
        </w:rPr>
        <w:t>, dunque, potrà essere messa a breve sul binario operativo e coinvolgerà una parte significativa del settore ATA (CS, AA, AT).</w:t>
      </w:r>
      <w:r w:rsidRPr="00DF598B">
        <w:rPr>
          <w:rFonts w:ascii="Arial" w:eastAsia="Times New Roman" w:hAnsi="Arial" w:cs="Arial"/>
          <w:color w:val="000000"/>
          <w:kern w:val="0"/>
          <w:sz w:val="21"/>
          <w:szCs w:val="21"/>
          <w:lang w:eastAsia="it-IT"/>
          <w14:ligatures w14:val="none"/>
        </w:rPr>
        <w:br/>
        <w:t>Circa </w:t>
      </w:r>
      <w:r w:rsidRPr="00DF598B">
        <w:rPr>
          <w:rFonts w:ascii="Arial" w:eastAsia="Times New Roman" w:hAnsi="Arial" w:cs="Arial"/>
          <w:b/>
          <w:bCs/>
          <w:color w:val="000000"/>
          <w:kern w:val="0"/>
          <w:sz w:val="21"/>
          <w:szCs w:val="21"/>
          <w:lang w:eastAsia="it-IT"/>
          <w14:ligatures w14:val="none"/>
        </w:rPr>
        <w:t>50 mila lavoratori</w:t>
      </w:r>
      <w:r w:rsidRPr="00DF598B">
        <w:rPr>
          <w:rFonts w:ascii="Arial" w:eastAsia="Times New Roman" w:hAnsi="Arial" w:cs="Arial"/>
          <w:color w:val="000000"/>
          <w:kern w:val="0"/>
          <w:sz w:val="21"/>
          <w:szCs w:val="21"/>
          <w:lang w:eastAsia="it-IT"/>
          <w14:ligatures w14:val="none"/>
        </w:rPr>
        <w:t>, che adesso non godono delle posizioni economiche, </w:t>
      </w:r>
      <w:r w:rsidRPr="00DF598B">
        <w:rPr>
          <w:rFonts w:ascii="Arial" w:eastAsia="Times New Roman" w:hAnsi="Arial" w:cs="Arial"/>
          <w:b/>
          <w:bCs/>
          <w:color w:val="000000"/>
          <w:kern w:val="0"/>
          <w:sz w:val="21"/>
          <w:szCs w:val="21"/>
          <w:lang w:eastAsia="it-IT"/>
          <w14:ligatures w14:val="none"/>
        </w:rPr>
        <w:t>potranno beneficiarne nel giro di pochi mesi</w:t>
      </w:r>
      <w:r w:rsidRPr="00DF598B">
        <w:rPr>
          <w:rFonts w:ascii="Arial" w:eastAsia="Times New Roman" w:hAnsi="Arial" w:cs="Arial"/>
          <w:color w:val="000000"/>
          <w:kern w:val="0"/>
          <w:sz w:val="21"/>
          <w:szCs w:val="21"/>
          <w:lang w:eastAsia="it-IT"/>
          <w14:ligatures w14:val="none"/>
        </w:rPr>
        <w:t>.</w:t>
      </w:r>
    </w:p>
    <w:p w14:paraId="7F4EB2FF" w14:textId="16CEA08E"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Continueremo ad incalzare il Ministero per la </w:t>
      </w:r>
      <w:r w:rsidRPr="00DF598B">
        <w:rPr>
          <w:rFonts w:ascii="Arial" w:eastAsia="Times New Roman" w:hAnsi="Arial" w:cs="Arial"/>
          <w:b/>
          <w:bCs/>
          <w:color w:val="000000"/>
          <w:kern w:val="0"/>
          <w:sz w:val="21"/>
          <w:szCs w:val="21"/>
          <w:lang w:eastAsia="it-IT"/>
          <w14:ligatures w14:val="none"/>
        </w:rPr>
        <w:t>piena attuazione del contratto di lavoro</w:t>
      </w:r>
      <w:r w:rsidRPr="00DF598B">
        <w:rPr>
          <w:rFonts w:ascii="Arial" w:eastAsia="Times New Roman" w:hAnsi="Arial" w:cs="Arial"/>
          <w:color w:val="000000"/>
          <w:kern w:val="0"/>
          <w:sz w:val="21"/>
          <w:szCs w:val="21"/>
          <w:lang w:eastAsia="it-IT"/>
          <w14:ligatures w14:val="none"/>
        </w:rPr>
        <w:t>.</w:t>
      </w:r>
    </w:p>
    <w:p w14:paraId="65DDC559" w14:textId="77777777" w:rsidR="005F2155" w:rsidRPr="005F2155" w:rsidRDefault="005F2155" w:rsidP="005F2155">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F2155">
        <w:rPr>
          <w:rFonts w:ascii="Tahoma" w:eastAsia="Times New Roman" w:hAnsi="Tahoma" w:cs="Tahoma"/>
          <w:color w:val="DC3B33"/>
          <w:kern w:val="36"/>
          <w:sz w:val="45"/>
          <w:szCs w:val="45"/>
          <w:lang w:eastAsia="it-IT"/>
          <w14:ligatures w14:val="none"/>
        </w:rPr>
        <w:lastRenderedPageBreak/>
        <w:t>Utilizzazioni e assegnazioni provvisorie 2024/2025: le nostre richieste</w:t>
      </w:r>
    </w:p>
    <w:p w14:paraId="07E8C4B2" w14:textId="77777777" w:rsidR="005F2155" w:rsidRPr="005F2155" w:rsidRDefault="005F2155" w:rsidP="005F215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F2155">
        <w:rPr>
          <w:rFonts w:ascii="Arial" w:eastAsia="Times New Roman" w:hAnsi="Arial" w:cs="Arial"/>
          <w:color w:val="535353"/>
          <w:kern w:val="0"/>
          <w:sz w:val="27"/>
          <w:szCs w:val="27"/>
          <w:lang w:eastAsia="it-IT"/>
          <w14:ligatures w14:val="none"/>
        </w:rPr>
        <w:t>Chiediamo il superamento di tutti i blocchi per i docenti neo assunti a tempo determinato e a tempo indeterminato, l’accesso agli ex Lsu assunti part time e la copertura dei posti liberi di DSGA tramite conferimento incarichi superiori agli assistenti amministrativi</w:t>
      </w:r>
    </w:p>
    <w:p w14:paraId="07CEA095" w14:textId="77777777" w:rsidR="005F2155" w:rsidRPr="005F2155" w:rsidRDefault="005F2155" w:rsidP="005F2155">
      <w:pPr>
        <w:shd w:val="clear" w:color="auto" w:fill="FFFFFF"/>
        <w:spacing w:after="0" w:line="240" w:lineRule="auto"/>
        <w:rPr>
          <w:rFonts w:ascii="Arial" w:eastAsia="Times New Roman" w:hAnsi="Arial" w:cs="Arial"/>
          <w:color w:val="4D4D4D"/>
          <w:kern w:val="0"/>
          <w:sz w:val="21"/>
          <w:szCs w:val="21"/>
          <w:lang w:eastAsia="it-IT"/>
          <w14:ligatures w14:val="none"/>
        </w:rPr>
      </w:pPr>
      <w:r w:rsidRPr="005F2155">
        <w:rPr>
          <w:rFonts w:ascii="Arial" w:eastAsia="Times New Roman" w:hAnsi="Arial" w:cs="Arial"/>
          <w:b/>
          <w:bCs/>
          <w:color w:val="4D4D4D"/>
          <w:kern w:val="0"/>
          <w:sz w:val="21"/>
          <w:szCs w:val="21"/>
          <w:lang w:eastAsia="it-IT"/>
          <w14:ligatures w14:val="none"/>
        </w:rPr>
        <w:t>17/06/2024</w:t>
      </w:r>
    </w:p>
    <w:p w14:paraId="538D991E" w14:textId="77777777" w:rsid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FC39198" w14:textId="4539C028"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Il </w:t>
      </w:r>
      <w:r w:rsidRPr="005F2155">
        <w:rPr>
          <w:rFonts w:ascii="Arial" w:eastAsia="Times New Roman" w:hAnsi="Arial" w:cs="Arial"/>
          <w:b/>
          <w:bCs/>
          <w:color w:val="000000"/>
          <w:kern w:val="0"/>
          <w:sz w:val="21"/>
          <w:szCs w:val="21"/>
          <w:lang w:eastAsia="it-IT"/>
          <w14:ligatures w14:val="none"/>
        </w:rPr>
        <w:t>Ministero dell’Istruzione e del Merito</w:t>
      </w:r>
      <w:r w:rsidRPr="005F2155">
        <w:rPr>
          <w:rFonts w:ascii="Arial" w:eastAsia="Times New Roman" w:hAnsi="Arial" w:cs="Arial"/>
          <w:color w:val="000000"/>
          <w:kern w:val="0"/>
          <w:sz w:val="21"/>
          <w:szCs w:val="21"/>
          <w:lang w:eastAsia="it-IT"/>
          <w14:ligatures w14:val="none"/>
        </w:rPr>
        <w:t> ha </w:t>
      </w:r>
      <w:hyperlink r:id="rId6" w:tgtFrame="_blank" w:history="1">
        <w:r w:rsidRPr="005F2155">
          <w:rPr>
            <w:rFonts w:ascii="Arial" w:eastAsia="Times New Roman" w:hAnsi="Arial" w:cs="Arial"/>
            <w:color w:val="005EB3"/>
            <w:kern w:val="0"/>
            <w:sz w:val="21"/>
            <w:szCs w:val="21"/>
            <w:lang w:eastAsia="it-IT"/>
            <w14:ligatures w14:val="none"/>
          </w:rPr>
          <w:t>convocato</w:t>
        </w:r>
      </w:hyperlink>
      <w:r w:rsidRPr="005F2155">
        <w:rPr>
          <w:rFonts w:ascii="Arial" w:eastAsia="Times New Roman" w:hAnsi="Arial" w:cs="Arial"/>
          <w:color w:val="000000"/>
          <w:kern w:val="0"/>
          <w:sz w:val="21"/>
          <w:szCs w:val="21"/>
          <w:lang w:eastAsia="it-IT"/>
          <w14:ligatures w14:val="none"/>
        </w:rPr>
        <w:t> i sindacati nel pomeriggio di lunedì 17 giugno 2024 sul </w:t>
      </w:r>
      <w:r w:rsidRPr="005F2155">
        <w:rPr>
          <w:rFonts w:ascii="Arial" w:eastAsia="Times New Roman" w:hAnsi="Arial" w:cs="Arial"/>
          <w:b/>
          <w:bCs/>
          <w:color w:val="000000"/>
          <w:kern w:val="0"/>
          <w:sz w:val="21"/>
          <w:szCs w:val="21"/>
          <w:lang w:eastAsia="it-IT"/>
          <w14:ligatures w14:val="none"/>
        </w:rPr>
        <w:t>rinnovo del CCNI utilizzazioni e assegnazioni provvisorie</w:t>
      </w:r>
      <w:r w:rsidRPr="005F2155">
        <w:rPr>
          <w:rFonts w:ascii="Arial" w:eastAsia="Times New Roman" w:hAnsi="Arial" w:cs="Arial"/>
          <w:color w:val="000000"/>
          <w:kern w:val="0"/>
          <w:sz w:val="21"/>
          <w:szCs w:val="21"/>
          <w:lang w:eastAsia="it-IT"/>
          <w14:ligatures w14:val="none"/>
        </w:rPr>
        <w:t> del personale docente, educativo e ATA.</w:t>
      </w:r>
    </w:p>
    <w:p w14:paraId="4CB55181" w14:textId="77777777"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La </w:t>
      </w:r>
      <w:r w:rsidRPr="005F2155">
        <w:rPr>
          <w:rFonts w:ascii="Arial" w:eastAsia="Times New Roman" w:hAnsi="Arial" w:cs="Arial"/>
          <w:b/>
          <w:bCs/>
          <w:color w:val="000000"/>
          <w:kern w:val="0"/>
          <w:sz w:val="21"/>
          <w:szCs w:val="21"/>
          <w:lang w:eastAsia="it-IT"/>
          <w14:ligatures w14:val="none"/>
        </w:rPr>
        <w:t>FLC CGIL</w:t>
      </w:r>
      <w:r w:rsidRPr="005F2155">
        <w:rPr>
          <w:rFonts w:ascii="Arial" w:eastAsia="Times New Roman" w:hAnsi="Arial" w:cs="Arial"/>
          <w:color w:val="000000"/>
          <w:kern w:val="0"/>
          <w:sz w:val="21"/>
          <w:szCs w:val="21"/>
          <w:lang w:eastAsia="it-IT"/>
          <w14:ligatures w14:val="none"/>
        </w:rPr>
        <w:t>, insieme alle altre sigle, aveva più volte </w:t>
      </w:r>
      <w:hyperlink r:id="rId7" w:tgtFrame="_blank" w:history="1">
        <w:r w:rsidRPr="005F2155">
          <w:rPr>
            <w:rFonts w:ascii="Arial" w:eastAsia="Times New Roman" w:hAnsi="Arial" w:cs="Arial"/>
            <w:color w:val="005EB3"/>
            <w:kern w:val="0"/>
            <w:sz w:val="21"/>
            <w:szCs w:val="21"/>
            <w:lang w:eastAsia="it-IT"/>
            <w14:ligatures w14:val="none"/>
          </w:rPr>
          <w:t>sollecitato</w:t>
        </w:r>
      </w:hyperlink>
      <w:r w:rsidRPr="005F2155">
        <w:rPr>
          <w:rFonts w:ascii="Arial" w:eastAsia="Times New Roman" w:hAnsi="Arial" w:cs="Arial"/>
          <w:color w:val="000000"/>
          <w:kern w:val="0"/>
          <w:sz w:val="21"/>
          <w:szCs w:val="21"/>
          <w:lang w:eastAsia="it-IT"/>
          <w14:ligatures w14:val="none"/>
        </w:rPr>
        <w:t> l’</w:t>
      </w:r>
      <w:r w:rsidRPr="005F2155">
        <w:rPr>
          <w:rFonts w:ascii="Arial" w:eastAsia="Times New Roman" w:hAnsi="Arial" w:cs="Arial"/>
          <w:b/>
          <w:bCs/>
          <w:color w:val="000000"/>
          <w:kern w:val="0"/>
          <w:sz w:val="21"/>
          <w:szCs w:val="21"/>
          <w:lang w:eastAsia="it-IT"/>
          <w14:ligatures w14:val="none"/>
        </w:rPr>
        <w:t>avvio della trattativa</w:t>
      </w:r>
      <w:r w:rsidRPr="005F2155">
        <w:rPr>
          <w:rFonts w:ascii="Arial" w:eastAsia="Times New Roman" w:hAnsi="Arial" w:cs="Arial"/>
          <w:color w:val="000000"/>
          <w:kern w:val="0"/>
          <w:sz w:val="21"/>
          <w:szCs w:val="21"/>
          <w:lang w:eastAsia="it-IT"/>
          <w14:ligatures w14:val="none"/>
        </w:rPr>
        <w:t> senza che l’amministrazione desse alcun riscontro, nonostante i tempi avanzati e la piena consapevolezza delle complessità che sempre accompagnano un percorso negoziale.</w:t>
      </w:r>
    </w:p>
    <w:p w14:paraId="6304A12C" w14:textId="77777777" w:rsidR="005F2155" w:rsidRPr="005F2155" w:rsidRDefault="005F2155" w:rsidP="005F215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F2155">
        <w:rPr>
          <w:rFonts w:ascii="Arial" w:eastAsia="Times New Roman" w:hAnsi="Arial" w:cs="Arial"/>
          <w:b/>
          <w:bCs/>
          <w:color w:val="535353"/>
          <w:kern w:val="0"/>
          <w:sz w:val="27"/>
          <w:szCs w:val="27"/>
          <w:lang w:eastAsia="it-IT"/>
          <w14:ligatures w14:val="none"/>
        </w:rPr>
        <w:t>La posizione dell’amministrazione</w:t>
      </w:r>
    </w:p>
    <w:p w14:paraId="43A7F09F" w14:textId="77777777"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In apertura di riunione, </w:t>
      </w:r>
      <w:r w:rsidRPr="005F2155">
        <w:rPr>
          <w:rFonts w:ascii="Arial" w:eastAsia="Times New Roman" w:hAnsi="Arial" w:cs="Arial"/>
          <w:b/>
          <w:bCs/>
          <w:color w:val="000000"/>
          <w:kern w:val="0"/>
          <w:sz w:val="21"/>
          <w:szCs w:val="21"/>
          <w:lang w:eastAsia="it-IT"/>
          <w14:ligatures w14:val="none"/>
        </w:rPr>
        <w:t>il ministero ha illustrato una bozza di intesa</w:t>
      </w:r>
      <w:r w:rsidRPr="005F2155">
        <w:rPr>
          <w:rFonts w:ascii="Arial" w:eastAsia="Times New Roman" w:hAnsi="Arial" w:cs="Arial"/>
          <w:color w:val="000000"/>
          <w:kern w:val="0"/>
          <w:sz w:val="21"/>
          <w:szCs w:val="21"/>
          <w:lang w:eastAsia="it-IT"/>
          <w14:ligatures w14:val="none"/>
        </w:rPr>
        <w:t> finalizzata all’ultrattività del </w:t>
      </w:r>
      <w:hyperlink r:id="rId8" w:tgtFrame="_blank" w:history="1">
        <w:r w:rsidRPr="005F2155">
          <w:rPr>
            <w:rFonts w:ascii="Arial" w:eastAsia="Times New Roman" w:hAnsi="Arial" w:cs="Arial"/>
            <w:color w:val="005EB3"/>
            <w:kern w:val="0"/>
            <w:sz w:val="21"/>
            <w:szCs w:val="21"/>
            <w:lang w:eastAsia="it-IT"/>
            <w14:ligatures w14:val="none"/>
          </w:rPr>
          <w:t>CCNI 2019-2022</w:t>
        </w:r>
      </w:hyperlink>
      <w:r w:rsidRPr="005F2155">
        <w:rPr>
          <w:rFonts w:ascii="Arial" w:eastAsia="Times New Roman" w:hAnsi="Arial" w:cs="Arial"/>
          <w:color w:val="000000"/>
          <w:kern w:val="0"/>
          <w:sz w:val="21"/>
          <w:szCs w:val="21"/>
          <w:lang w:eastAsia="it-IT"/>
          <w14:ligatures w14:val="none"/>
        </w:rPr>
        <w:t xml:space="preserve"> per le operazioni relative </w:t>
      </w:r>
      <w:proofErr w:type="spellStart"/>
      <w:r w:rsidRPr="005F2155">
        <w:rPr>
          <w:rFonts w:ascii="Arial" w:eastAsia="Times New Roman" w:hAnsi="Arial" w:cs="Arial"/>
          <w:color w:val="000000"/>
          <w:kern w:val="0"/>
          <w:sz w:val="21"/>
          <w:szCs w:val="21"/>
          <w:lang w:eastAsia="it-IT"/>
          <w14:ligatures w14:val="none"/>
        </w:rPr>
        <w:t>all’a.s.</w:t>
      </w:r>
      <w:proofErr w:type="spellEnd"/>
      <w:r w:rsidRPr="005F2155">
        <w:rPr>
          <w:rFonts w:ascii="Arial" w:eastAsia="Times New Roman" w:hAnsi="Arial" w:cs="Arial"/>
          <w:color w:val="000000"/>
          <w:kern w:val="0"/>
          <w:sz w:val="21"/>
          <w:szCs w:val="21"/>
          <w:lang w:eastAsia="it-IT"/>
          <w14:ligatures w14:val="none"/>
        </w:rPr>
        <w:t xml:space="preserve"> 2024/2025, come successo già nei precedenti anni scolastici 2022/2023 e 2023/2024, motivandola con la necessità di </w:t>
      </w:r>
      <w:proofErr w:type="spellStart"/>
      <w:r w:rsidRPr="005F2155">
        <w:rPr>
          <w:rFonts w:ascii="Arial" w:eastAsia="Times New Roman" w:hAnsi="Arial" w:cs="Arial"/>
          <w:color w:val="000000"/>
          <w:kern w:val="0"/>
          <w:sz w:val="21"/>
          <w:szCs w:val="21"/>
          <w:lang w:eastAsia="it-IT"/>
          <w14:ligatures w14:val="none"/>
        </w:rPr>
        <w:t>ri</w:t>
      </w:r>
      <w:proofErr w:type="spellEnd"/>
      <w:r w:rsidRPr="005F2155">
        <w:rPr>
          <w:rFonts w:ascii="Arial" w:eastAsia="Times New Roman" w:hAnsi="Arial" w:cs="Arial"/>
          <w:color w:val="000000"/>
          <w:kern w:val="0"/>
          <w:sz w:val="21"/>
          <w:szCs w:val="21"/>
          <w:lang w:eastAsia="it-IT"/>
          <w14:ligatures w14:val="none"/>
        </w:rPr>
        <w:t>-allineare la formulazione del testo con quella della mobilità, il cui CCNI è in scadenza.</w:t>
      </w:r>
      <w:r w:rsidRPr="005F2155">
        <w:rPr>
          <w:rFonts w:ascii="Arial" w:eastAsia="Times New Roman" w:hAnsi="Arial" w:cs="Arial"/>
          <w:color w:val="000000"/>
          <w:kern w:val="0"/>
          <w:sz w:val="21"/>
          <w:szCs w:val="21"/>
          <w:lang w:eastAsia="it-IT"/>
          <w14:ligatures w14:val="none"/>
        </w:rPr>
        <w:br/>
        <w:t>Lo strumento scelto è quello di un breve testo su cui convenire i punti principali di integrazione/modifica, in modo da mantenere l’impianto generale e aggiornare solo le novità.</w:t>
      </w:r>
      <w:r w:rsidRPr="005F2155">
        <w:rPr>
          <w:rFonts w:ascii="Arial" w:eastAsia="Times New Roman" w:hAnsi="Arial" w:cs="Arial"/>
          <w:color w:val="000000"/>
          <w:kern w:val="0"/>
          <w:sz w:val="21"/>
          <w:szCs w:val="21"/>
          <w:lang w:eastAsia="it-IT"/>
          <w14:ligatures w14:val="none"/>
        </w:rPr>
        <w:br/>
        <w:t>L’intenzione espressa in premessa è stata quella del rispetto del contesto normativo che riguarda da un lato il vincolo di permanenza dei docenti neo-assunti e dall’altro la copertura dei posti vacanti e/o disponibili dei DSGA, quindi nella realtà dei fatti, almeno in prima istanza, la proposta è sembrata un accordo di intenti per acquisire delle disposizioni e senza spazi di apertura contrattuale.</w:t>
      </w:r>
    </w:p>
    <w:p w14:paraId="1CC6E339" w14:textId="77777777" w:rsidR="005F2155" w:rsidRPr="005F2155" w:rsidRDefault="005F2155" w:rsidP="005F2155">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F2155">
        <w:rPr>
          <w:rFonts w:ascii="Arial" w:eastAsia="Times New Roman" w:hAnsi="Arial" w:cs="Arial"/>
          <w:b/>
          <w:bCs/>
          <w:color w:val="535353"/>
          <w:kern w:val="0"/>
          <w:sz w:val="27"/>
          <w:szCs w:val="27"/>
          <w:lang w:eastAsia="it-IT"/>
          <w14:ligatures w14:val="none"/>
        </w:rPr>
        <w:t>La nostra posizione</w:t>
      </w:r>
    </w:p>
    <w:p w14:paraId="1507C4EC" w14:textId="77777777"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Abbiamo fatto presente al ministero che l’intesa negoziale, anche se di breve durata, deve </w:t>
      </w:r>
      <w:r w:rsidRPr="005F2155">
        <w:rPr>
          <w:rFonts w:ascii="Arial" w:eastAsia="Times New Roman" w:hAnsi="Arial" w:cs="Arial"/>
          <w:b/>
          <w:bCs/>
          <w:color w:val="000000"/>
          <w:kern w:val="0"/>
          <w:sz w:val="21"/>
          <w:szCs w:val="21"/>
          <w:lang w:eastAsia="it-IT"/>
          <w14:ligatures w14:val="none"/>
        </w:rPr>
        <w:t>segnare delle conquiste</w:t>
      </w:r>
      <w:r w:rsidRPr="005F2155">
        <w:rPr>
          <w:rFonts w:ascii="Arial" w:eastAsia="Times New Roman" w:hAnsi="Arial" w:cs="Arial"/>
          <w:color w:val="000000"/>
          <w:kern w:val="0"/>
          <w:sz w:val="21"/>
          <w:szCs w:val="21"/>
          <w:lang w:eastAsia="it-IT"/>
          <w14:ligatures w14:val="none"/>
        </w:rPr>
        <w:t> perché questo è lo </w:t>
      </w:r>
      <w:r w:rsidRPr="005F2155">
        <w:rPr>
          <w:rFonts w:ascii="Arial" w:eastAsia="Times New Roman" w:hAnsi="Arial" w:cs="Arial"/>
          <w:b/>
          <w:bCs/>
          <w:color w:val="000000"/>
          <w:kern w:val="0"/>
          <w:sz w:val="21"/>
          <w:szCs w:val="21"/>
          <w:lang w:eastAsia="it-IT"/>
          <w14:ligatures w14:val="none"/>
        </w:rPr>
        <w:t>scopo di un contratto</w:t>
      </w:r>
      <w:r w:rsidRPr="005F2155">
        <w:rPr>
          <w:rFonts w:ascii="Arial" w:eastAsia="Times New Roman" w:hAnsi="Arial" w:cs="Arial"/>
          <w:color w:val="000000"/>
          <w:kern w:val="0"/>
          <w:sz w:val="21"/>
          <w:szCs w:val="21"/>
          <w:lang w:eastAsia="it-IT"/>
          <w14:ligatures w14:val="none"/>
        </w:rPr>
        <w:t>: arrivare a migliorare le condizioni delle lavoratrici e dei lavoratori e non riproporre la legge vigente, per giunta negli stessi termini.</w:t>
      </w:r>
    </w:p>
    <w:p w14:paraId="661A4296" w14:textId="77777777"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Per la FLC CGIL </w:t>
      </w:r>
      <w:r w:rsidRPr="005F2155">
        <w:rPr>
          <w:rFonts w:ascii="Arial" w:eastAsia="Times New Roman" w:hAnsi="Arial" w:cs="Arial"/>
          <w:b/>
          <w:bCs/>
          <w:color w:val="000000"/>
          <w:kern w:val="0"/>
          <w:sz w:val="21"/>
          <w:szCs w:val="21"/>
          <w:lang w:eastAsia="it-IT"/>
          <w14:ligatures w14:val="none"/>
        </w:rPr>
        <w:t>le rivendicazioni sono chiare</w:t>
      </w:r>
      <w:r w:rsidRPr="005F2155">
        <w:rPr>
          <w:rFonts w:ascii="Arial" w:eastAsia="Times New Roman" w:hAnsi="Arial" w:cs="Arial"/>
          <w:color w:val="000000"/>
          <w:kern w:val="0"/>
          <w:sz w:val="21"/>
          <w:szCs w:val="21"/>
          <w:lang w:eastAsia="it-IT"/>
          <w14:ligatures w14:val="none"/>
        </w:rPr>
        <w:t> e le abbiamo poste al tavolo:</w:t>
      </w:r>
    </w:p>
    <w:p w14:paraId="18795ED1" w14:textId="77777777" w:rsidR="005F2155" w:rsidRPr="005F2155" w:rsidRDefault="005F2155" w:rsidP="005F2155">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garanzia di accesso ai movimenti per tutti i docenti neo-assunti 2023/2024 proprio in virtù di un regime transitorio</w:t>
      </w:r>
    </w:p>
    <w:p w14:paraId="0337481A" w14:textId="77777777" w:rsidR="005F2155" w:rsidRPr="005F2155" w:rsidRDefault="005F2155" w:rsidP="005F2155">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 partecipazione alle assegnazioni del personale ATA ex LSU anche se assunto a tempo parziale</w:t>
      </w:r>
    </w:p>
    <w:p w14:paraId="7AD5CE8E" w14:textId="77777777" w:rsidR="005F2155" w:rsidRPr="005F2155" w:rsidRDefault="005F2155" w:rsidP="005F2155">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utilizzazione sui posti da DSGA vacanti e disponibili tramite conferimento degli incarichi per svolgimento di mansioni superiori agli assistenti amministrativi con priorità nei confronti di coloro che risulteranno idonei nella graduatoria per le progressioni verticali per funzionari ed elevate qualificazione sempre su base volontaria.</w:t>
      </w:r>
    </w:p>
    <w:p w14:paraId="7B40C762" w14:textId="5B963FDA" w:rsidR="005F2155" w:rsidRPr="005F2155" w:rsidRDefault="005F2155" w:rsidP="005F2155">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F2155">
        <w:rPr>
          <w:rFonts w:ascii="Arial" w:eastAsia="Times New Roman" w:hAnsi="Arial" w:cs="Arial"/>
          <w:color w:val="000000"/>
          <w:kern w:val="0"/>
          <w:sz w:val="21"/>
          <w:szCs w:val="21"/>
          <w:lang w:eastAsia="it-IT"/>
          <w14:ligatures w14:val="none"/>
        </w:rPr>
        <w:t>In considerazione di quanto emerso e vista la posizione di partenza, ci siamo impegnati a declinare le osservazioni in modo preciso e articolato. Da parte sua, l’amministrazione ha ritenuto di accogliere la richiesta proveniente da tutte le sigle presenti e di riaggiornare i lavori nel giro di qualche giorno.</w:t>
      </w:r>
    </w:p>
    <w:p w14:paraId="799AA41C" w14:textId="77777777" w:rsidR="00D140CD" w:rsidRDefault="00D140CD"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7D2B9ABA" w14:textId="77777777" w:rsidR="00D140CD" w:rsidRDefault="00D140CD"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p w14:paraId="4F641139" w14:textId="3C96B85D" w:rsidR="00DF598B" w:rsidRPr="00DF598B" w:rsidRDefault="00DF598B"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F598B">
        <w:rPr>
          <w:rFonts w:ascii="Tahoma" w:eastAsia="Times New Roman" w:hAnsi="Tahoma" w:cs="Tahoma"/>
          <w:color w:val="DC3B33"/>
          <w:kern w:val="36"/>
          <w:sz w:val="45"/>
          <w:szCs w:val="45"/>
          <w:lang w:eastAsia="it-IT"/>
          <w14:ligatures w14:val="none"/>
        </w:rPr>
        <w:lastRenderedPageBreak/>
        <w:t>Il nazionalismo scolastico di Valditara</w:t>
      </w:r>
    </w:p>
    <w:p w14:paraId="4CF5A8B3" w14:textId="77777777" w:rsidR="00DF598B" w:rsidRPr="00DF598B" w:rsidRDefault="00DF598B" w:rsidP="00DF598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F598B">
        <w:rPr>
          <w:rFonts w:ascii="Arial" w:eastAsia="Times New Roman" w:hAnsi="Arial" w:cs="Arial"/>
          <w:color w:val="535353"/>
          <w:kern w:val="0"/>
          <w:sz w:val="27"/>
          <w:szCs w:val="27"/>
          <w:lang w:eastAsia="it-IT"/>
          <w14:ligatures w14:val="none"/>
        </w:rPr>
        <w:t>Nominata una commissione per tornare ai vecchi “programmi” in una logica identitaria e lavoristica. L’opposto di un’istruzione inclusiva e plurale</w:t>
      </w:r>
    </w:p>
    <w:p w14:paraId="0755B193" w14:textId="77777777" w:rsidR="00DF598B" w:rsidRPr="00DF598B" w:rsidRDefault="00DF598B" w:rsidP="00DF598B">
      <w:pPr>
        <w:shd w:val="clear" w:color="auto" w:fill="FFFFFF"/>
        <w:spacing w:after="0" w:line="240" w:lineRule="auto"/>
        <w:rPr>
          <w:rFonts w:ascii="Arial" w:eastAsia="Times New Roman" w:hAnsi="Arial" w:cs="Arial"/>
          <w:color w:val="4D4D4D"/>
          <w:kern w:val="0"/>
          <w:sz w:val="21"/>
          <w:szCs w:val="21"/>
          <w:lang w:eastAsia="it-IT"/>
          <w14:ligatures w14:val="none"/>
        </w:rPr>
      </w:pPr>
      <w:r w:rsidRPr="00DF598B">
        <w:rPr>
          <w:rFonts w:ascii="Arial" w:eastAsia="Times New Roman" w:hAnsi="Arial" w:cs="Arial"/>
          <w:b/>
          <w:bCs/>
          <w:color w:val="4D4D4D"/>
          <w:kern w:val="0"/>
          <w:sz w:val="21"/>
          <w:szCs w:val="21"/>
          <w:lang w:eastAsia="it-IT"/>
          <w14:ligatures w14:val="none"/>
        </w:rPr>
        <w:t>18/06/2024</w:t>
      </w:r>
    </w:p>
    <w:p w14:paraId="2B770CA5" w14:textId="77777777" w:rsidR="00DF598B" w:rsidRDefault="00DF598B" w:rsidP="00DF598B">
      <w:pPr>
        <w:shd w:val="clear" w:color="auto" w:fill="FFFFFF"/>
        <w:spacing w:after="0" w:line="240" w:lineRule="auto"/>
        <w:rPr>
          <w:rFonts w:ascii="Arial" w:eastAsia="Times New Roman" w:hAnsi="Arial" w:cs="Arial"/>
          <w:color w:val="000000"/>
          <w:kern w:val="0"/>
          <w:sz w:val="2"/>
          <w:szCs w:val="2"/>
          <w:lang w:eastAsia="it-IT"/>
          <w14:ligatures w14:val="none"/>
        </w:rPr>
      </w:pPr>
    </w:p>
    <w:p w14:paraId="621E5889" w14:textId="4C6A777E" w:rsidR="00DF598B" w:rsidRPr="00DF598B" w:rsidRDefault="00DF598B" w:rsidP="00DF598B">
      <w:pPr>
        <w:shd w:val="clear" w:color="auto" w:fill="FFFFFF"/>
        <w:spacing w:after="0" w:line="240" w:lineRule="auto"/>
        <w:rPr>
          <w:rFonts w:ascii="Arial" w:eastAsia="Times New Roman" w:hAnsi="Arial" w:cs="Arial"/>
          <w:color w:val="000000"/>
          <w:kern w:val="0"/>
          <w:sz w:val="2"/>
          <w:szCs w:val="2"/>
          <w:lang w:eastAsia="it-IT"/>
          <w14:ligatures w14:val="none"/>
        </w:rPr>
      </w:pPr>
      <w:r w:rsidRPr="00DF598B">
        <w:rPr>
          <w:rFonts w:ascii="Arial" w:eastAsia="Times New Roman" w:hAnsi="Arial" w:cs="Arial"/>
          <w:color w:val="000000"/>
          <w:kern w:val="0"/>
          <w:sz w:val="2"/>
          <w:szCs w:val="2"/>
          <w:lang w:eastAsia="it-IT"/>
          <w14:ligatures w14:val="none"/>
        </w:rPr>
        <w:t>Collettiva.it</w:t>
      </w:r>
    </w:p>
    <w:p w14:paraId="41375B55"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Il ministro </w:t>
      </w:r>
      <w:hyperlink r:id="rId9" w:tgtFrame="_blank" w:history="1">
        <w:r w:rsidRPr="00DF598B">
          <w:rPr>
            <w:rFonts w:ascii="Arial" w:eastAsia="Times New Roman" w:hAnsi="Arial" w:cs="Arial"/>
            <w:color w:val="005EB3"/>
            <w:kern w:val="0"/>
            <w:sz w:val="21"/>
            <w:szCs w:val="21"/>
            <w:u w:val="single"/>
            <w:lang w:eastAsia="it-IT"/>
            <w14:ligatures w14:val="none"/>
          </w:rPr>
          <w:t>Valditara</w:t>
        </w:r>
      </w:hyperlink>
      <w:r w:rsidRPr="00DF598B">
        <w:rPr>
          <w:rFonts w:ascii="Arial" w:eastAsia="Times New Roman" w:hAnsi="Arial" w:cs="Arial"/>
          <w:color w:val="000000"/>
          <w:kern w:val="0"/>
          <w:sz w:val="21"/>
          <w:szCs w:val="21"/>
          <w:lang w:eastAsia="it-IT"/>
          <w14:ligatures w14:val="none"/>
        </w:rPr>
        <w:t> ha deciso l’ennesimo colpo di mano sul sistema scolastico, istituendo quasi alla chetichella una </w:t>
      </w:r>
      <w:r w:rsidRPr="00DF598B">
        <w:rPr>
          <w:rFonts w:ascii="Arial" w:eastAsia="Times New Roman" w:hAnsi="Arial" w:cs="Arial"/>
          <w:b/>
          <w:bCs/>
          <w:color w:val="000000"/>
          <w:kern w:val="0"/>
          <w:sz w:val="21"/>
          <w:szCs w:val="21"/>
          <w:lang w:eastAsia="it-IT"/>
          <w14:ligatures w14:val="none"/>
        </w:rPr>
        <w:t>commissione di “esperti di comprovata qualificazione</w:t>
      </w:r>
      <w:r w:rsidRPr="00DF598B">
        <w:rPr>
          <w:rFonts w:ascii="Arial" w:eastAsia="Times New Roman" w:hAnsi="Arial" w:cs="Arial"/>
          <w:color w:val="000000"/>
          <w:kern w:val="0"/>
          <w:sz w:val="21"/>
          <w:szCs w:val="21"/>
          <w:lang w:eastAsia="it-IT"/>
          <w14:ligatures w14:val="none"/>
        </w:rPr>
        <w:t> scientifica e professionale” per elaborare proposte “volte alla revisione delle indicazioni nazionali e delle linee guida relative al primo e al secondo ciclo di istruzione”.</w:t>
      </w:r>
    </w:p>
    <w:p w14:paraId="03B7A460"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Praticamente di tutto il percorso scolastico, </w:t>
      </w:r>
      <w:r w:rsidRPr="00DF598B">
        <w:rPr>
          <w:rFonts w:ascii="Arial" w:eastAsia="Times New Roman" w:hAnsi="Arial" w:cs="Arial"/>
          <w:b/>
          <w:bCs/>
          <w:color w:val="000000"/>
          <w:kern w:val="0"/>
          <w:sz w:val="21"/>
          <w:szCs w:val="21"/>
          <w:lang w:eastAsia="it-IT"/>
          <w14:ligatures w14:val="none"/>
        </w:rPr>
        <w:t>senza esplicitare le ragioni dell’urgenza</w:t>
      </w:r>
      <w:r w:rsidRPr="00DF598B">
        <w:rPr>
          <w:rFonts w:ascii="Arial" w:eastAsia="Times New Roman" w:hAnsi="Arial" w:cs="Arial"/>
          <w:color w:val="000000"/>
          <w:kern w:val="0"/>
          <w:sz w:val="21"/>
          <w:szCs w:val="21"/>
          <w:lang w:eastAsia="it-IT"/>
          <w14:ligatures w14:val="none"/>
        </w:rPr>
        <w:t> e le motivazioni per la revisione ma, soprattutto, in base a quali indicazioni e finalità debba muoversi la commissione e quali siano le finalità.</w:t>
      </w:r>
    </w:p>
    <w:p w14:paraId="372997D8"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Non è difficile intuire, dalle dichiarazioni rilasciate a mezzo stampa e in coerenza con gli interventi precedenti del governo Meloni in materia di istruzione, una torsione verso un’idea di </w:t>
      </w:r>
      <w:hyperlink r:id="rId10" w:tgtFrame="_blank" w:history="1">
        <w:r w:rsidRPr="00DF598B">
          <w:rPr>
            <w:rFonts w:ascii="Arial" w:eastAsia="Times New Roman" w:hAnsi="Arial" w:cs="Arial"/>
            <w:color w:val="005EB3"/>
            <w:kern w:val="0"/>
            <w:sz w:val="21"/>
            <w:szCs w:val="21"/>
            <w:u w:val="single"/>
            <w:lang w:eastAsia="it-IT"/>
            <w14:ligatures w14:val="none"/>
          </w:rPr>
          <w:t>scuola</w:t>
        </w:r>
      </w:hyperlink>
      <w:r w:rsidRPr="00DF598B">
        <w:rPr>
          <w:rFonts w:ascii="Arial" w:eastAsia="Times New Roman" w:hAnsi="Arial" w:cs="Arial"/>
          <w:color w:val="000000"/>
          <w:kern w:val="0"/>
          <w:sz w:val="21"/>
          <w:szCs w:val="21"/>
          <w:lang w:eastAsia="it-IT"/>
          <w14:ligatures w14:val="none"/>
        </w:rPr>
        <w:t> che declina ideologicamente i processi di apprendimento, finalizzandoli a una </w:t>
      </w:r>
      <w:r w:rsidRPr="00DF598B">
        <w:rPr>
          <w:rFonts w:ascii="Arial" w:eastAsia="Times New Roman" w:hAnsi="Arial" w:cs="Arial"/>
          <w:b/>
          <w:bCs/>
          <w:color w:val="000000"/>
          <w:kern w:val="0"/>
          <w:sz w:val="21"/>
          <w:szCs w:val="21"/>
          <w:lang w:eastAsia="it-IT"/>
          <w14:ligatures w14:val="none"/>
        </w:rPr>
        <w:t>formazione identitaria nazionalistica</w:t>
      </w:r>
      <w:r w:rsidRPr="00DF598B">
        <w:rPr>
          <w:rFonts w:ascii="Arial" w:eastAsia="Times New Roman" w:hAnsi="Arial" w:cs="Arial"/>
          <w:color w:val="000000"/>
          <w:kern w:val="0"/>
          <w:sz w:val="21"/>
          <w:szCs w:val="21"/>
          <w:lang w:eastAsia="it-IT"/>
          <w14:ligatures w14:val="none"/>
        </w:rPr>
        <w:t> e all’addestramento al lavoro</w:t>
      </w:r>
    </w:p>
    <w:p w14:paraId="51B3104F"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Ne è la prova la composizione “uniforme” della commissione, sia per quanto riguarda la provenienza politico-culturale, fortemente identitaria, che il profilo professionale dei soggetti che ne fanno parte, tutti docenti universitari che fanno riferimento a </w:t>
      </w:r>
      <w:r w:rsidRPr="00DF598B">
        <w:rPr>
          <w:rFonts w:ascii="Arial" w:eastAsia="Times New Roman" w:hAnsi="Arial" w:cs="Arial"/>
          <w:b/>
          <w:bCs/>
          <w:color w:val="000000"/>
          <w:kern w:val="0"/>
          <w:sz w:val="21"/>
          <w:szCs w:val="21"/>
          <w:lang w:eastAsia="it-IT"/>
          <w14:ligatures w14:val="none"/>
        </w:rPr>
        <w:t>una cultura pedagogica tutt’altro che progressista</w:t>
      </w:r>
      <w:r w:rsidRPr="00DF598B">
        <w:rPr>
          <w:rFonts w:ascii="Arial" w:eastAsia="Times New Roman" w:hAnsi="Arial" w:cs="Arial"/>
          <w:color w:val="000000"/>
          <w:kern w:val="0"/>
          <w:sz w:val="21"/>
          <w:szCs w:val="21"/>
          <w:lang w:eastAsia="it-IT"/>
          <w14:ligatures w14:val="none"/>
        </w:rPr>
        <w:t>.</w:t>
      </w:r>
    </w:p>
    <w:p w14:paraId="5D85948B"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Si registra inoltre la totale assenza di coloro che nella scuola quotidianamente in questo ultimo decennio e più, hanno sperimentato sul campo </w:t>
      </w:r>
      <w:r w:rsidRPr="00DF598B">
        <w:rPr>
          <w:rFonts w:ascii="Arial" w:eastAsia="Times New Roman" w:hAnsi="Arial" w:cs="Arial"/>
          <w:i/>
          <w:iCs/>
          <w:color w:val="000000"/>
          <w:kern w:val="0"/>
          <w:sz w:val="21"/>
          <w:szCs w:val="21"/>
          <w:lang w:eastAsia="it-IT"/>
          <w14:ligatures w14:val="none"/>
        </w:rPr>
        <w:t>Indicazioni nazionali</w:t>
      </w:r>
      <w:r w:rsidRPr="00DF598B">
        <w:rPr>
          <w:rFonts w:ascii="Arial" w:eastAsia="Times New Roman" w:hAnsi="Arial" w:cs="Arial"/>
          <w:color w:val="000000"/>
          <w:kern w:val="0"/>
          <w:sz w:val="21"/>
          <w:szCs w:val="21"/>
          <w:lang w:eastAsia="it-IT"/>
          <w14:ligatures w14:val="none"/>
        </w:rPr>
        <w:t> e </w:t>
      </w:r>
      <w:r w:rsidRPr="00DF598B">
        <w:rPr>
          <w:rFonts w:ascii="Arial" w:eastAsia="Times New Roman" w:hAnsi="Arial" w:cs="Arial"/>
          <w:i/>
          <w:iCs/>
          <w:color w:val="000000"/>
          <w:kern w:val="0"/>
          <w:sz w:val="21"/>
          <w:szCs w:val="21"/>
          <w:lang w:eastAsia="it-IT"/>
          <w14:ligatures w14:val="none"/>
        </w:rPr>
        <w:t>Linee guida</w:t>
      </w:r>
      <w:r w:rsidRPr="00DF598B">
        <w:rPr>
          <w:rFonts w:ascii="Arial" w:eastAsia="Times New Roman" w:hAnsi="Arial" w:cs="Arial"/>
          <w:color w:val="000000"/>
          <w:kern w:val="0"/>
          <w:sz w:val="21"/>
          <w:szCs w:val="21"/>
          <w:lang w:eastAsia="it-IT"/>
          <w14:ligatures w14:val="none"/>
        </w:rPr>
        <w:t>, trasformandole in progettualità e azione educativo-didattica.</w:t>
      </w:r>
    </w:p>
    <w:p w14:paraId="68A07D46"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Si sbaglia il signor ministro se pensa che il coinvolgimento del mondo della scuola possa esaurirsi attraverso estemporanee e formali consultazioni o addirittura “a valle” di un processo che vede protagonista indiscussa la commissione e se pensa di poter </w:t>
      </w:r>
      <w:r w:rsidRPr="00DF598B">
        <w:rPr>
          <w:rFonts w:ascii="Arial" w:eastAsia="Times New Roman" w:hAnsi="Arial" w:cs="Arial"/>
          <w:b/>
          <w:bCs/>
          <w:color w:val="000000"/>
          <w:kern w:val="0"/>
          <w:sz w:val="21"/>
          <w:szCs w:val="21"/>
          <w:lang w:eastAsia="it-IT"/>
          <w14:ligatures w14:val="none"/>
        </w:rPr>
        <w:t>impunemente stravolgere documenti ancora attuali</w:t>
      </w:r>
      <w:r w:rsidRPr="00DF598B">
        <w:rPr>
          <w:rFonts w:ascii="Arial" w:eastAsia="Times New Roman" w:hAnsi="Arial" w:cs="Arial"/>
          <w:color w:val="000000"/>
          <w:kern w:val="0"/>
          <w:sz w:val="21"/>
          <w:szCs w:val="21"/>
          <w:lang w:eastAsia="it-IT"/>
          <w14:ligatures w14:val="none"/>
        </w:rPr>
        <w:t> e rispondenti ai bisogni formativi delle bambine e dei bambini, delle ragazze e dei ragazzi, in quanto attraversati dal paradigma della complessità, che li rende adeguati ai tempi, alle difficoltà e alle opportunità che le nuove generazioni si troveranno ad affrontare, coniugando logiche anche contrapposte.</w:t>
      </w:r>
    </w:p>
    <w:p w14:paraId="6FF2CC08"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L’idea di semplificazione e linearità, indicata come nobile obiettivo della revisione, renderebbe le cittadine e i cittadini del presente e del futuro </w:t>
      </w:r>
      <w:r w:rsidRPr="00DF598B">
        <w:rPr>
          <w:rFonts w:ascii="Arial" w:eastAsia="Times New Roman" w:hAnsi="Arial" w:cs="Arial"/>
          <w:b/>
          <w:bCs/>
          <w:color w:val="000000"/>
          <w:kern w:val="0"/>
          <w:sz w:val="21"/>
          <w:szCs w:val="21"/>
          <w:lang w:eastAsia="it-IT"/>
          <w14:ligatures w14:val="none"/>
        </w:rPr>
        <w:t>incapaci di problematizzare la realtà e i suoi eventi</w:t>
      </w:r>
      <w:r w:rsidRPr="00DF598B">
        <w:rPr>
          <w:rFonts w:ascii="Arial" w:eastAsia="Times New Roman" w:hAnsi="Arial" w:cs="Arial"/>
          <w:color w:val="000000"/>
          <w:kern w:val="0"/>
          <w:sz w:val="21"/>
          <w:szCs w:val="21"/>
          <w:lang w:eastAsia="it-IT"/>
          <w14:ligatures w14:val="none"/>
        </w:rPr>
        <w:t>, secondo una visione passiva e facilmente manipolabile della cittadinanza. Quello che serve, e che al contrario va favorito e valorizzato, è l’acquisizione di un pensiero riflessivo, in grado di cogliere la molteplicità dei punti di vista, a partire dalla </w:t>
      </w:r>
      <w:r w:rsidRPr="00DF598B">
        <w:rPr>
          <w:rFonts w:ascii="Arial" w:eastAsia="Times New Roman" w:hAnsi="Arial" w:cs="Arial"/>
          <w:b/>
          <w:bCs/>
          <w:color w:val="000000"/>
          <w:kern w:val="0"/>
          <w:sz w:val="21"/>
          <w:szCs w:val="21"/>
          <w:lang w:eastAsia="it-IT"/>
          <w14:ligatures w14:val="none"/>
        </w:rPr>
        <w:t xml:space="preserve">dimensione </w:t>
      </w:r>
      <w:proofErr w:type="spellStart"/>
      <w:r w:rsidRPr="00DF598B">
        <w:rPr>
          <w:rFonts w:ascii="Arial" w:eastAsia="Times New Roman" w:hAnsi="Arial" w:cs="Arial"/>
          <w:b/>
          <w:bCs/>
          <w:color w:val="000000"/>
          <w:kern w:val="0"/>
          <w:sz w:val="21"/>
          <w:szCs w:val="21"/>
          <w:lang w:eastAsia="it-IT"/>
          <w14:ligatures w14:val="none"/>
        </w:rPr>
        <w:t>pluri</w:t>
      </w:r>
      <w:proofErr w:type="spellEnd"/>
      <w:r w:rsidRPr="00DF598B">
        <w:rPr>
          <w:rFonts w:ascii="Arial" w:eastAsia="Times New Roman" w:hAnsi="Arial" w:cs="Arial"/>
          <w:b/>
          <w:bCs/>
          <w:color w:val="000000"/>
          <w:kern w:val="0"/>
          <w:sz w:val="21"/>
          <w:szCs w:val="21"/>
          <w:lang w:eastAsia="it-IT"/>
          <w14:ligatures w14:val="none"/>
        </w:rPr>
        <w:t>-interculturale </w:t>
      </w:r>
      <w:r w:rsidRPr="00DF598B">
        <w:rPr>
          <w:rFonts w:ascii="Arial" w:eastAsia="Times New Roman" w:hAnsi="Arial" w:cs="Arial"/>
          <w:color w:val="000000"/>
          <w:kern w:val="0"/>
          <w:sz w:val="21"/>
          <w:szCs w:val="21"/>
          <w:lang w:eastAsia="it-IT"/>
          <w14:ligatures w14:val="none"/>
        </w:rPr>
        <w:t>che caratterizza il nostro Paese e dalla realtà multietnica delle nostre classi, per “la piena attuazione del riconoscimento e della garanzia della libertà e dell’uguaglianza (articoli 2 e 3 della Costituzione), nel rispetto delle differenze di tutti e dell’identità di ciascuno” (</w:t>
      </w:r>
      <w:r w:rsidRPr="00DF598B">
        <w:rPr>
          <w:rFonts w:ascii="Arial" w:eastAsia="Times New Roman" w:hAnsi="Arial" w:cs="Arial"/>
          <w:i/>
          <w:iCs/>
          <w:color w:val="000000"/>
          <w:kern w:val="0"/>
          <w:sz w:val="21"/>
          <w:szCs w:val="21"/>
          <w:lang w:eastAsia="it-IT"/>
          <w14:ligatures w14:val="none"/>
        </w:rPr>
        <w:t>Indicazioni nazionali </w:t>
      </w:r>
      <w:r w:rsidRPr="00DF598B">
        <w:rPr>
          <w:rFonts w:ascii="Arial" w:eastAsia="Times New Roman" w:hAnsi="Arial" w:cs="Arial"/>
          <w:color w:val="000000"/>
          <w:kern w:val="0"/>
          <w:sz w:val="21"/>
          <w:szCs w:val="21"/>
          <w:lang w:eastAsia="it-IT"/>
          <w14:ligatures w14:val="none"/>
        </w:rPr>
        <w:t>del 2012).</w:t>
      </w:r>
    </w:p>
    <w:p w14:paraId="508A346F"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Pericoloso sarebbe inoltre </w:t>
      </w:r>
      <w:r w:rsidRPr="00DF598B">
        <w:rPr>
          <w:rFonts w:ascii="Arial" w:eastAsia="Times New Roman" w:hAnsi="Arial" w:cs="Arial"/>
          <w:b/>
          <w:bCs/>
          <w:color w:val="000000"/>
          <w:kern w:val="0"/>
          <w:sz w:val="21"/>
          <w:szCs w:val="21"/>
          <w:lang w:eastAsia="it-IT"/>
          <w14:ligatures w14:val="none"/>
        </w:rPr>
        <w:t xml:space="preserve">un ritorno alla rigidità e </w:t>
      </w:r>
      <w:proofErr w:type="spellStart"/>
      <w:r w:rsidRPr="00DF598B">
        <w:rPr>
          <w:rFonts w:ascii="Arial" w:eastAsia="Times New Roman" w:hAnsi="Arial" w:cs="Arial"/>
          <w:b/>
          <w:bCs/>
          <w:color w:val="000000"/>
          <w:kern w:val="0"/>
          <w:sz w:val="21"/>
          <w:szCs w:val="21"/>
          <w:lang w:eastAsia="it-IT"/>
          <w14:ligatures w14:val="none"/>
        </w:rPr>
        <w:t>prescrittività</w:t>
      </w:r>
      <w:proofErr w:type="spellEnd"/>
      <w:r w:rsidRPr="00DF598B">
        <w:rPr>
          <w:rFonts w:ascii="Arial" w:eastAsia="Times New Roman" w:hAnsi="Arial" w:cs="Arial"/>
          <w:b/>
          <w:bCs/>
          <w:color w:val="000000"/>
          <w:kern w:val="0"/>
          <w:sz w:val="21"/>
          <w:szCs w:val="21"/>
          <w:lang w:eastAsia="it-IT"/>
          <w14:ligatures w14:val="none"/>
        </w:rPr>
        <w:t xml:space="preserve"> dei programmi</w:t>
      </w:r>
      <w:r w:rsidRPr="00DF598B">
        <w:rPr>
          <w:rFonts w:ascii="Arial" w:eastAsia="Times New Roman" w:hAnsi="Arial" w:cs="Arial"/>
          <w:color w:val="000000"/>
          <w:kern w:val="0"/>
          <w:sz w:val="21"/>
          <w:szCs w:val="21"/>
          <w:lang w:eastAsia="it-IT"/>
          <w14:ligatures w14:val="none"/>
        </w:rPr>
        <w:t> ministeriali scalzando l’idea di curricolo, che costituisce l’impianto strutturale delle Indicazioni nazionali; e non si tratta, evidentemente, di questione lessicale ma di cambiamento del punto di riferimento, da un elenco di contenuti, al processo di apprendimento e di crescita. Perché </w:t>
      </w:r>
      <w:r w:rsidRPr="00DF598B">
        <w:rPr>
          <w:rFonts w:ascii="Arial" w:eastAsia="Times New Roman" w:hAnsi="Arial" w:cs="Arial"/>
          <w:b/>
          <w:bCs/>
          <w:color w:val="000000"/>
          <w:kern w:val="0"/>
          <w:sz w:val="21"/>
          <w:szCs w:val="21"/>
          <w:lang w:eastAsia="it-IT"/>
          <w14:ligatures w14:val="none"/>
        </w:rPr>
        <w:t>il curricolo è strumento dinamico e flessibile</w:t>
      </w:r>
      <w:r w:rsidRPr="00DF598B">
        <w:rPr>
          <w:rFonts w:ascii="Arial" w:eastAsia="Times New Roman" w:hAnsi="Arial" w:cs="Arial"/>
          <w:color w:val="000000"/>
          <w:kern w:val="0"/>
          <w:sz w:val="21"/>
          <w:szCs w:val="21"/>
          <w:lang w:eastAsia="it-IT"/>
          <w14:ligatures w14:val="none"/>
        </w:rPr>
        <w:t>, che si adatta alle esigenze dei contesti, integrando metodologie didattiche e contenuti, in una prospettiva interdisciplinare, valorizzando l’autonomia progettuale e didattica delle istituzioni scolastiche e la libertà d’insegnamento.</w:t>
      </w:r>
    </w:p>
    <w:p w14:paraId="610A64F5"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Oggi, più che mai, di fronte alle </w:t>
      </w:r>
      <w:r w:rsidRPr="00DF598B">
        <w:rPr>
          <w:rFonts w:ascii="Arial" w:eastAsia="Times New Roman" w:hAnsi="Arial" w:cs="Arial"/>
          <w:b/>
          <w:bCs/>
          <w:color w:val="000000"/>
          <w:kern w:val="0"/>
          <w:sz w:val="21"/>
          <w:szCs w:val="21"/>
          <w:lang w:eastAsia="it-IT"/>
          <w14:ligatures w14:val="none"/>
        </w:rPr>
        <w:t xml:space="preserve">spinte </w:t>
      </w:r>
      <w:proofErr w:type="spellStart"/>
      <w:r w:rsidRPr="00DF598B">
        <w:rPr>
          <w:rFonts w:ascii="Arial" w:eastAsia="Times New Roman" w:hAnsi="Arial" w:cs="Arial"/>
          <w:b/>
          <w:bCs/>
          <w:color w:val="000000"/>
          <w:kern w:val="0"/>
          <w:sz w:val="21"/>
          <w:szCs w:val="21"/>
          <w:lang w:eastAsia="it-IT"/>
          <w14:ligatures w14:val="none"/>
        </w:rPr>
        <w:t>autoritaristiche</w:t>
      </w:r>
      <w:proofErr w:type="spellEnd"/>
      <w:r w:rsidRPr="00DF598B">
        <w:rPr>
          <w:rFonts w:ascii="Arial" w:eastAsia="Times New Roman" w:hAnsi="Arial" w:cs="Arial"/>
          <w:b/>
          <w:bCs/>
          <w:color w:val="000000"/>
          <w:kern w:val="0"/>
          <w:sz w:val="21"/>
          <w:szCs w:val="21"/>
          <w:lang w:eastAsia="it-IT"/>
          <w14:ligatures w14:val="none"/>
        </w:rPr>
        <w:t xml:space="preserve"> e regressive della politica</w:t>
      </w:r>
      <w:r w:rsidRPr="00DF598B">
        <w:rPr>
          <w:rFonts w:ascii="Arial" w:eastAsia="Times New Roman" w:hAnsi="Arial" w:cs="Arial"/>
          <w:color w:val="000000"/>
          <w:kern w:val="0"/>
          <w:sz w:val="21"/>
          <w:szCs w:val="21"/>
          <w:lang w:eastAsia="it-IT"/>
          <w14:ligatures w14:val="none"/>
        </w:rPr>
        <w:t>, occorre difendere il valore di documenti che ancora possono far crescere e qualificare </w:t>
      </w:r>
      <w:r w:rsidRPr="00DF598B">
        <w:rPr>
          <w:rFonts w:ascii="Arial" w:eastAsia="Times New Roman" w:hAnsi="Arial" w:cs="Arial"/>
          <w:b/>
          <w:bCs/>
          <w:color w:val="000000"/>
          <w:kern w:val="0"/>
          <w:sz w:val="21"/>
          <w:szCs w:val="21"/>
          <w:lang w:eastAsia="it-IT"/>
          <w14:ligatures w14:val="none"/>
        </w:rPr>
        <w:t>una scuola laica, plurale</w:t>
      </w:r>
      <w:r w:rsidRPr="00DF598B">
        <w:rPr>
          <w:rFonts w:ascii="Arial" w:eastAsia="Times New Roman" w:hAnsi="Arial" w:cs="Arial"/>
          <w:color w:val="000000"/>
          <w:kern w:val="0"/>
          <w:sz w:val="21"/>
          <w:szCs w:val="21"/>
          <w:lang w:eastAsia="it-IT"/>
          <w14:ligatures w14:val="none"/>
        </w:rPr>
        <w:t>, </w:t>
      </w:r>
      <w:hyperlink r:id="rId11" w:tgtFrame="_blank" w:history="1">
        <w:r w:rsidRPr="00DF598B">
          <w:rPr>
            <w:rFonts w:ascii="Arial" w:eastAsia="Times New Roman" w:hAnsi="Arial" w:cs="Arial"/>
            <w:color w:val="005EB3"/>
            <w:kern w:val="0"/>
            <w:sz w:val="21"/>
            <w:szCs w:val="21"/>
            <w:u w:val="single"/>
            <w:lang w:eastAsia="it-IT"/>
            <w14:ligatures w14:val="none"/>
          </w:rPr>
          <w:t>inclusiva</w:t>
        </w:r>
      </w:hyperlink>
      <w:r w:rsidRPr="00DF598B">
        <w:rPr>
          <w:rFonts w:ascii="Arial" w:eastAsia="Times New Roman" w:hAnsi="Arial" w:cs="Arial"/>
          <w:color w:val="000000"/>
          <w:kern w:val="0"/>
          <w:sz w:val="21"/>
          <w:szCs w:val="21"/>
          <w:lang w:eastAsia="it-IT"/>
          <w14:ligatures w14:val="none"/>
        </w:rPr>
        <w:t>, resistente presidio di democrazia che riconosce alla conoscenza il suo straordinario potenziale trasformativo attraverso “l’elaborazione dei saperi necessari per comprendere </w:t>
      </w:r>
      <w:r w:rsidRPr="00DF598B">
        <w:rPr>
          <w:rFonts w:ascii="Arial" w:eastAsia="Times New Roman" w:hAnsi="Arial" w:cs="Arial"/>
          <w:b/>
          <w:bCs/>
          <w:color w:val="000000"/>
          <w:kern w:val="0"/>
          <w:sz w:val="21"/>
          <w:szCs w:val="21"/>
          <w:lang w:eastAsia="it-IT"/>
          <w14:ligatures w14:val="none"/>
        </w:rPr>
        <w:t>l’attuale condizione dell’uomo planetario</w:t>
      </w:r>
      <w:r w:rsidRPr="00DF598B">
        <w:rPr>
          <w:rFonts w:ascii="Arial" w:eastAsia="Times New Roman" w:hAnsi="Arial" w:cs="Arial"/>
          <w:color w:val="000000"/>
          <w:kern w:val="0"/>
          <w:sz w:val="21"/>
          <w:szCs w:val="21"/>
          <w:lang w:eastAsia="it-IT"/>
          <w14:ligatures w14:val="none"/>
        </w:rPr>
        <w:t xml:space="preserve">, definita dalle molteplici interdipendenze fra locale e globale, premessa </w:t>
      </w:r>
      <w:r w:rsidRPr="00DF598B">
        <w:rPr>
          <w:rFonts w:ascii="Arial" w:eastAsia="Times New Roman" w:hAnsi="Arial" w:cs="Arial"/>
          <w:color w:val="000000"/>
          <w:kern w:val="0"/>
          <w:sz w:val="21"/>
          <w:szCs w:val="21"/>
          <w:lang w:eastAsia="it-IT"/>
          <w14:ligatures w14:val="none"/>
        </w:rPr>
        <w:lastRenderedPageBreak/>
        <w:t>indispensabile per l’esercizio di una cittadinanza nazionale, europea e planetaria” (come è scritto nelle </w:t>
      </w:r>
      <w:r w:rsidRPr="00DF598B">
        <w:rPr>
          <w:rFonts w:ascii="Arial" w:eastAsia="Times New Roman" w:hAnsi="Arial" w:cs="Arial"/>
          <w:i/>
          <w:iCs/>
          <w:color w:val="000000"/>
          <w:kern w:val="0"/>
          <w:sz w:val="21"/>
          <w:szCs w:val="21"/>
          <w:lang w:eastAsia="it-IT"/>
          <w14:ligatures w14:val="none"/>
        </w:rPr>
        <w:t>Indicazioni nazionali</w:t>
      </w:r>
      <w:r w:rsidRPr="00DF598B">
        <w:rPr>
          <w:rFonts w:ascii="Arial" w:eastAsia="Times New Roman" w:hAnsi="Arial" w:cs="Arial"/>
          <w:color w:val="000000"/>
          <w:kern w:val="0"/>
          <w:sz w:val="21"/>
          <w:szCs w:val="21"/>
          <w:lang w:eastAsia="it-IT"/>
          <w14:ligatures w14:val="none"/>
        </w:rPr>
        <w:t> del 2012).</w:t>
      </w:r>
    </w:p>
    <w:p w14:paraId="58B4D89A" w14:textId="7C546318"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i/>
          <w:iCs/>
          <w:color w:val="000000"/>
          <w:kern w:val="0"/>
          <w:sz w:val="21"/>
          <w:szCs w:val="21"/>
          <w:lang w:eastAsia="it-IT"/>
          <w14:ligatures w14:val="none"/>
        </w:rPr>
        <w:t xml:space="preserve">Manuela Calza, segretaria nazionale </w:t>
      </w:r>
      <w:proofErr w:type="spellStart"/>
      <w:r w:rsidRPr="00DF598B">
        <w:rPr>
          <w:rFonts w:ascii="Arial" w:eastAsia="Times New Roman" w:hAnsi="Arial" w:cs="Arial"/>
          <w:i/>
          <w:iCs/>
          <w:color w:val="000000"/>
          <w:kern w:val="0"/>
          <w:sz w:val="21"/>
          <w:szCs w:val="21"/>
          <w:lang w:eastAsia="it-IT"/>
          <w14:ligatures w14:val="none"/>
        </w:rPr>
        <w:t>Flc</w:t>
      </w:r>
      <w:proofErr w:type="spellEnd"/>
      <w:r w:rsidRPr="00DF598B">
        <w:rPr>
          <w:rFonts w:ascii="Arial" w:eastAsia="Times New Roman" w:hAnsi="Arial" w:cs="Arial"/>
          <w:i/>
          <w:iCs/>
          <w:color w:val="000000"/>
          <w:kern w:val="0"/>
          <w:sz w:val="21"/>
          <w:szCs w:val="21"/>
          <w:lang w:eastAsia="it-IT"/>
          <w14:ligatures w14:val="none"/>
        </w:rPr>
        <w:t xml:space="preserve"> Cgil</w:t>
      </w:r>
    </w:p>
    <w:p w14:paraId="2CFE9E74" w14:textId="781BAC7B" w:rsidR="00DF598B" w:rsidRPr="00DF598B" w:rsidRDefault="00DF598B" w:rsidP="00DF598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F598B">
        <w:rPr>
          <w:rFonts w:ascii="Tahoma" w:eastAsia="Times New Roman" w:hAnsi="Tahoma" w:cs="Tahoma"/>
          <w:color w:val="DC3B33"/>
          <w:kern w:val="36"/>
          <w:sz w:val="45"/>
          <w:szCs w:val="45"/>
          <w:lang w:eastAsia="it-IT"/>
          <w14:ligatures w14:val="none"/>
        </w:rPr>
        <w:t>Corsi lampo per Università degli studi LINK: la FLC CGIL segnala ai Ministri Valditara e Bernini una formazione in ingresso dequalificata e ridotta a compravendita di titoli</w:t>
      </w:r>
    </w:p>
    <w:p w14:paraId="3F1183B6" w14:textId="77777777" w:rsidR="00DF598B" w:rsidRPr="00DF598B" w:rsidRDefault="00DF598B" w:rsidP="00DF598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F598B">
        <w:rPr>
          <w:rFonts w:ascii="Arial" w:eastAsia="Times New Roman" w:hAnsi="Arial" w:cs="Arial"/>
          <w:color w:val="535353"/>
          <w:kern w:val="0"/>
          <w:sz w:val="27"/>
          <w:szCs w:val="27"/>
          <w:lang w:eastAsia="it-IT"/>
          <w14:ligatures w14:val="none"/>
        </w:rPr>
        <w:t>In soli 17 giorni si acquisiscono 30 crediti formativi e l’abilitazione per insegnare.</w:t>
      </w:r>
    </w:p>
    <w:p w14:paraId="1DF6A01B" w14:textId="77777777" w:rsidR="00DF598B" w:rsidRPr="00DF598B" w:rsidRDefault="00DF598B" w:rsidP="00DF598B">
      <w:pPr>
        <w:shd w:val="clear" w:color="auto" w:fill="FFFFFF"/>
        <w:spacing w:after="0" w:line="240" w:lineRule="auto"/>
        <w:rPr>
          <w:rFonts w:ascii="Arial" w:eastAsia="Times New Roman" w:hAnsi="Arial" w:cs="Arial"/>
          <w:color w:val="4D4D4D"/>
          <w:kern w:val="0"/>
          <w:sz w:val="21"/>
          <w:szCs w:val="21"/>
          <w:lang w:eastAsia="it-IT"/>
          <w14:ligatures w14:val="none"/>
        </w:rPr>
      </w:pPr>
      <w:r w:rsidRPr="00DF598B">
        <w:rPr>
          <w:rFonts w:ascii="Arial" w:eastAsia="Times New Roman" w:hAnsi="Arial" w:cs="Arial"/>
          <w:b/>
          <w:bCs/>
          <w:color w:val="4D4D4D"/>
          <w:kern w:val="0"/>
          <w:sz w:val="21"/>
          <w:szCs w:val="21"/>
          <w:lang w:eastAsia="it-IT"/>
          <w14:ligatures w14:val="none"/>
        </w:rPr>
        <w:t>21/06/2024</w:t>
      </w:r>
    </w:p>
    <w:p w14:paraId="71EEFAE2" w14:textId="77777777" w:rsid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3220710" w14:textId="43FD92A1"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La chiusura della fase dell’aggiornamento delle Graduatorie Provinciali delle Supplenze non vede calare le polemiche sui punteggi connessi a </w:t>
      </w:r>
      <w:r w:rsidRPr="00DF598B">
        <w:rPr>
          <w:rFonts w:ascii="Arial" w:eastAsia="Times New Roman" w:hAnsi="Arial" w:cs="Arial"/>
          <w:b/>
          <w:bCs/>
          <w:color w:val="000000"/>
          <w:kern w:val="0"/>
          <w:sz w:val="21"/>
          <w:szCs w:val="21"/>
          <w:lang w:eastAsia="it-IT"/>
          <w14:ligatures w14:val="none"/>
        </w:rPr>
        <w:t>titoli di abilitazione assai onerosi ottenuti mediante modalità telematiche</w:t>
      </w:r>
      <w:r w:rsidRPr="00DF598B">
        <w:rPr>
          <w:rFonts w:ascii="Arial" w:eastAsia="Times New Roman" w:hAnsi="Arial" w:cs="Arial"/>
          <w:color w:val="000000"/>
          <w:kern w:val="0"/>
          <w:sz w:val="21"/>
          <w:szCs w:val="21"/>
          <w:lang w:eastAsia="it-IT"/>
          <w14:ligatures w14:val="none"/>
        </w:rPr>
        <w:t>.</w:t>
      </w:r>
    </w:p>
    <w:p w14:paraId="3B75C4F5"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E nonostante la scadenza imminente, </w:t>
      </w:r>
      <w:r w:rsidRPr="00DF598B">
        <w:rPr>
          <w:rFonts w:ascii="Arial" w:eastAsia="Times New Roman" w:hAnsi="Arial" w:cs="Arial"/>
          <w:b/>
          <w:bCs/>
          <w:color w:val="000000"/>
          <w:kern w:val="0"/>
          <w:sz w:val="21"/>
          <w:szCs w:val="21"/>
          <w:lang w:eastAsia="it-IT"/>
          <w14:ligatures w14:val="none"/>
        </w:rPr>
        <w:t>atenei come </w:t>
      </w:r>
      <w:hyperlink r:id="rId12" w:history="1">
        <w:r w:rsidRPr="00DF598B">
          <w:rPr>
            <w:rFonts w:ascii="Arial" w:eastAsia="Times New Roman" w:hAnsi="Arial" w:cs="Arial"/>
            <w:b/>
            <w:bCs/>
            <w:color w:val="005EB3"/>
            <w:kern w:val="0"/>
            <w:sz w:val="21"/>
            <w:szCs w:val="21"/>
            <w:u w:val="single"/>
            <w:lang w:eastAsia="it-IT"/>
            <w14:ligatures w14:val="none"/>
          </w:rPr>
          <w:t>Università degli studi LINK</w:t>
        </w:r>
      </w:hyperlink>
      <w:r w:rsidRPr="00DF598B">
        <w:rPr>
          <w:rFonts w:ascii="Arial" w:eastAsia="Times New Roman" w:hAnsi="Arial" w:cs="Arial"/>
          <w:b/>
          <w:bCs/>
          <w:color w:val="000000"/>
          <w:kern w:val="0"/>
          <w:sz w:val="21"/>
          <w:szCs w:val="21"/>
          <w:lang w:eastAsia="it-IT"/>
          <w14:ligatures w14:val="none"/>
        </w:rPr>
        <w:t> rilanciano nuove “</w:t>
      </w:r>
      <w:proofErr w:type="spellStart"/>
      <w:r w:rsidRPr="00DF598B">
        <w:rPr>
          <w:rFonts w:ascii="Arial" w:eastAsia="Times New Roman" w:hAnsi="Arial" w:cs="Arial"/>
          <w:b/>
          <w:bCs/>
          <w:color w:val="000000"/>
          <w:kern w:val="0"/>
          <w:sz w:val="21"/>
          <w:szCs w:val="21"/>
          <w:lang w:eastAsia="it-IT"/>
          <w14:ligatures w14:val="none"/>
        </w:rPr>
        <w:t>Summer</w:t>
      </w:r>
      <w:proofErr w:type="spellEnd"/>
      <w:r w:rsidRPr="00DF598B">
        <w:rPr>
          <w:rFonts w:ascii="Arial" w:eastAsia="Times New Roman" w:hAnsi="Arial" w:cs="Arial"/>
          <w:b/>
          <w:bCs/>
          <w:color w:val="000000"/>
          <w:kern w:val="0"/>
          <w:sz w:val="21"/>
          <w:szCs w:val="21"/>
          <w:lang w:eastAsia="it-IT"/>
          <w14:ligatures w14:val="none"/>
        </w:rPr>
        <w:t xml:space="preserve"> Edition” dei corsi abilitanti</w:t>
      </w:r>
      <w:r w:rsidRPr="00DF598B">
        <w:rPr>
          <w:rFonts w:ascii="Arial" w:eastAsia="Times New Roman" w:hAnsi="Arial" w:cs="Arial"/>
          <w:color w:val="000000"/>
          <w:kern w:val="0"/>
          <w:sz w:val="21"/>
          <w:szCs w:val="21"/>
          <w:lang w:eastAsia="it-IT"/>
          <w14:ligatures w14:val="none"/>
        </w:rPr>
        <w:t xml:space="preserve">, che </w:t>
      </w:r>
      <w:proofErr w:type="gramStart"/>
      <w:r w:rsidRPr="00DF598B">
        <w:rPr>
          <w:rFonts w:ascii="Arial" w:eastAsia="Times New Roman" w:hAnsi="Arial" w:cs="Arial"/>
          <w:color w:val="000000"/>
          <w:kern w:val="0"/>
          <w:sz w:val="21"/>
          <w:szCs w:val="21"/>
          <w:lang w:eastAsia="it-IT"/>
          <w14:ligatures w14:val="none"/>
        </w:rPr>
        <w:t>per  2</w:t>
      </w:r>
      <w:proofErr w:type="gramEnd"/>
      <w:r w:rsidRPr="00DF598B">
        <w:rPr>
          <w:rFonts w:ascii="Arial" w:eastAsia="Times New Roman" w:hAnsi="Arial" w:cs="Arial"/>
          <w:color w:val="000000"/>
          <w:kern w:val="0"/>
          <w:sz w:val="21"/>
          <w:szCs w:val="21"/>
          <w:lang w:eastAsia="it-IT"/>
          <w14:ligatures w14:val="none"/>
        </w:rPr>
        <w:t xml:space="preserve"> mila euro e in soli 17 giorni, comprensivi di sabati e domeniche, consentono di ottenere l’abilitazione per insegnare nella scuola secondaria.</w:t>
      </w:r>
    </w:p>
    <w:p w14:paraId="3011C42B"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La ripresa dei corsi di formazione in ingresso abilitanti, bloccati da oltre 10 anni, è connessa con l’attuazione della riforma del reclutamento prevista dal PNRR e il contributo specifico del governo Meloni è stato di tutto rilievo: i corsi previsti dal decreto-legge n. 36 del 2022 sono stati fortemente alleggeriti sia nel peso formativo, passato da 60 CFU/CFA a 30 per molte tipologie di docenti, che nella modalità di erogazione della didattica, che è diventata in alcuni casi interamente on-line.</w:t>
      </w:r>
    </w:p>
    <w:p w14:paraId="349F854E"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Non si sono invece ridotti i costi, che oscillano tra i 2 mila e i 2.500 euro.</w:t>
      </w:r>
    </w:p>
    <w:p w14:paraId="66C9D973"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L’insieme dei due elementi, formazione a distanza e costi alti, ha favorito l’offerta formativa delle università telematiche private “for profit”, strutturate cioè come società di capitali che hanno il profitto come principale obiettivo.</w:t>
      </w:r>
    </w:p>
    <w:p w14:paraId="68A801FE"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E’ il caso anche di Università degli studi LINK, che opera in Italia dal 2011 con una storia segnata da molteplici indagini: alle cronache le controversie per la </w:t>
      </w:r>
      <w:hyperlink r:id="rId13" w:tgtFrame="_blank" w:history="1">
        <w:r w:rsidRPr="00DF598B">
          <w:rPr>
            <w:rFonts w:ascii="Arial" w:eastAsia="Times New Roman" w:hAnsi="Arial" w:cs="Arial"/>
            <w:color w:val="005EB3"/>
            <w:kern w:val="0"/>
            <w:sz w:val="21"/>
            <w:szCs w:val="21"/>
            <w:u w:val="single"/>
            <w:lang w:eastAsia="it-IT"/>
            <w14:ligatures w14:val="none"/>
          </w:rPr>
          <w:t>sua autorizzazione del 2011</w:t>
        </w:r>
      </w:hyperlink>
      <w:r w:rsidRPr="00DF598B">
        <w:rPr>
          <w:rFonts w:ascii="Arial" w:eastAsia="Times New Roman" w:hAnsi="Arial" w:cs="Arial"/>
          <w:color w:val="000000"/>
          <w:kern w:val="0"/>
          <w:sz w:val="21"/>
          <w:szCs w:val="21"/>
          <w:lang w:eastAsia="it-IT"/>
          <w14:ligatures w14:val="none"/>
        </w:rPr>
        <w:t> e per il </w:t>
      </w:r>
      <w:hyperlink r:id="rId14" w:history="1">
        <w:r w:rsidRPr="00DF598B">
          <w:rPr>
            <w:rFonts w:ascii="Arial" w:eastAsia="Times New Roman" w:hAnsi="Arial" w:cs="Arial"/>
            <w:color w:val="005EB3"/>
            <w:kern w:val="0"/>
            <w:sz w:val="21"/>
            <w:szCs w:val="21"/>
            <w:u w:val="single"/>
            <w:lang w:eastAsia="it-IT"/>
            <w14:ligatures w14:val="none"/>
          </w:rPr>
          <w:t xml:space="preserve">caso </w:t>
        </w:r>
        <w:proofErr w:type="spellStart"/>
        <w:r w:rsidRPr="00DF598B">
          <w:rPr>
            <w:rFonts w:ascii="Arial" w:eastAsia="Times New Roman" w:hAnsi="Arial" w:cs="Arial"/>
            <w:color w:val="005EB3"/>
            <w:kern w:val="0"/>
            <w:sz w:val="21"/>
            <w:szCs w:val="21"/>
            <w:u w:val="single"/>
            <w:lang w:eastAsia="it-IT"/>
            <w14:ligatures w14:val="none"/>
          </w:rPr>
          <w:t>Mifsud</w:t>
        </w:r>
        <w:proofErr w:type="spellEnd"/>
      </w:hyperlink>
      <w:r w:rsidRPr="00DF598B">
        <w:rPr>
          <w:rFonts w:ascii="Arial" w:eastAsia="Times New Roman" w:hAnsi="Arial" w:cs="Arial"/>
          <w:color w:val="000000"/>
          <w:kern w:val="0"/>
          <w:sz w:val="21"/>
          <w:szCs w:val="21"/>
          <w:lang w:eastAsia="it-IT"/>
          <w14:ligatures w14:val="none"/>
        </w:rPr>
        <w:t xml:space="preserve"> [docente </w:t>
      </w:r>
      <w:proofErr w:type="spellStart"/>
      <w:r w:rsidRPr="00DF598B">
        <w:rPr>
          <w:rFonts w:ascii="Arial" w:eastAsia="Times New Roman" w:hAnsi="Arial" w:cs="Arial"/>
          <w:color w:val="000000"/>
          <w:kern w:val="0"/>
          <w:sz w:val="21"/>
          <w:szCs w:val="21"/>
          <w:lang w:eastAsia="it-IT"/>
          <w14:ligatures w14:val="none"/>
        </w:rPr>
        <w:t>dell</w:t>
      </w:r>
      <w:proofErr w:type="spellEnd"/>
      <w:r w:rsidRPr="00DF598B">
        <w:rPr>
          <w:rFonts w:ascii="Arial" w:eastAsia="Times New Roman" w:hAnsi="Arial" w:cs="Arial"/>
          <w:color w:val="000000"/>
          <w:kern w:val="0"/>
          <w:sz w:val="21"/>
          <w:szCs w:val="21"/>
          <w:rtl/>
          <w:lang w:eastAsia="it-IT"/>
          <w14:ligatures w14:val="none"/>
        </w:rPr>
        <w:t>’</w:t>
      </w:r>
      <w:r w:rsidRPr="00DF598B">
        <w:rPr>
          <w:rFonts w:ascii="Arial" w:eastAsia="Times New Roman" w:hAnsi="Arial" w:cs="Arial"/>
          <w:color w:val="000000"/>
          <w:kern w:val="0"/>
          <w:sz w:val="21"/>
          <w:szCs w:val="21"/>
          <w:lang w:eastAsia="it-IT"/>
          <w14:ligatures w14:val="none"/>
        </w:rPr>
        <w:t>ateneo protagonista del </w:t>
      </w:r>
      <w:proofErr w:type="spellStart"/>
      <w:r w:rsidRPr="00DF598B">
        <w:rPr>
          <w:rFonts w:ascii="Arial" w:eastAsia="Times New Roman" w:hAnsi="Arial" w:cs="Arial"/>
          <w:i/>
          <w:iCs/>
          <w:color w:val="000000"/>
          <w:kern w:val="0"/>
          <w:sz w:val="21"/>
          <w:szCs w:val="21"/>
          <w:lang w:eastAsia="it-IT"/>
          <w14:ligatures w14:val="none"/>
        </w:rPr>
        <w:t>Russiagate</w:t>
      </w:r>
      <w:proofErr w:type="spellEnd"/>
      <w:r w:rsidRPr="00DF598B">
        <w:rPr>
          <w:rFonts w:ascii="Arial" w:eastAsia="Times New Roman" w:hAnsi="Arial" w:cs="Arial"/>
          <w:color w:val="000000"/>
          <w:kern w:val="0"/>
          <w:sz w:val="21"/>
          <w:szCs w:val="21"/>
          <w:lang w:eastAsia="it-IT"/>
          <w14:ligatures w14:val="none"/>
        </w:rPr>
        <w:t>], i rinvii a giudizio per un </w:t>
      </w:r>
      <w:hyperlink r:id="rId15" w:history="1">
        <w:r w:rsidRPr="00DF598B">
          <w:rPr>
            <w:rFonts w:ascii="Arial" w:eastAsia="Times New Roman" w:hAnsi="Arial" w:cs="Arial"/>
            <w:color w:val="005EB3"/>
            <w:kern w:val="0"/>
            <w:sz w:val="21"/>
            <w:szCs w:val="21"/>
            <w:u w:val="single"/>
            <w:lang w:eastAsia="it-IT"/>
            <w14:ligatures w14:val="none"/>
          </w:rPr>
          <w:t>sistema di esami concordati</w:t>
        </w:r>
      </w:hyperlink>
      <w:r w:rsidRPr="00DF598B">
        <w:rPr>
          <w:rFonts w:ascii="Arial" w:eastAsia="Times New Roman" w:hAnsi="Arial" w:cs="Arial"/>
          <w:color w:val="000000"/>
          <w:kern w:val="0"/>
          <w:sz w:val="21"/>
          <w:szCs w:val="21"/>
          <w:lang w:eastAsia="it-IT"/>
          <w14:ligatures w14:val="none"/>
        </w:rPr>
        <w:t> e gli </w:t>
      </w:r>
      <w:hyperlink r:id="rId16" w:anchor=":~:text=Falsi%2520progetti%2520di%2520ricerca%2520per,Indagato%2520l%2527ex%2520ministro%2520Scotti&amp;text=I%2520progetti%2520di%2520ricerca%2520erano,di%2520crediti%2520d%2527imposta%2520fittizi." w:history="1">
        <w:r w:rsidRPr="00DF598B">
          <w:rPr>
            <w:rFonts w:ascii="Arial" w:eastAsia="Times New Roman" w:hAnsi="Arial" w:cs="Arial"/>
            <w:color w:val="005EB3"/>
            <w:kern w:val="0"/>
            <w:sz w:val="21"/>
            <w:szCs w:val="21"/>
            <w:u w:val="single"/>
            <w:lang w:eastAsia="it-IT"/>
            <w14:ligatures w14:val="none"/>
          </w:rPr>
          <w:t>arresti per frode fiscale legati a falsi progetti di ricerca</w:t>
        </w:r>
      </w:hyperlink>
      <w:r w:rsidRPr="00DF598B">
        <w:rPr>
          <w:rFonts w:ascii="Arial" w:eastAsia="Times New Roman" w:hAnsi="Arial" w:cs="Arial"/>
          <w:color w:val="000000"/>
          <w:kern w:val="0"/>
          <w:sz w:val="21"/>
          <w:szCs w:val="21"/>
          <w:lang w:eastAsia="it-IT"/>
          <w14:ligatures w14:val="none"/>
        </w:rPr>
        <w:t>. Dal 2020 l</w:t>
      </w:r>
      <w:r w:rsidRPr="00DF598B">
        <w:rPr>
          <w:rFonts w:ascii="Arial" w:eastAsia="Times New Roman" w:hAnsi="Arial" w:cs="Arial"/>
          <w:color w:val="000000"/>
          <w:kern w:val="0"/>
          <w:sz w:val="21"/>
          <w:szCs w:val="21"/>
          <w:rtl/>
          <w:lang w:eastAsia="it-IT"/>
          <w14:ligatures w14:val="none"/>
        </w:rPr>
        <w:t>’</w:t>
      </w:r>
      <w:r w:rsidRPr="00DF598B">
        <w:rPr>
          <w:rFonts w:ascii="Arial" w:eastAsia="Times New Roman" w:hAnsi="Arial" w:cs="Arial"/>
          <w:color w:val="000000"/>
          <w:kern w:val="0"/>
          <w:sz w:val="21"/>
          <w:szCs w:val="21"/>
          <w:lang w:eastAsia="it-IT"/>
          <w14:ligatures w14:val="none"/>
        </w:rPr>
        <w:t>ateneo è stato interamente acquisito dalla CEPU di </w:t>
      </w:r>
      <w:r w:rsidRPr="00DF598B">
        <w:rPr>
          <w:rFonts w:ascii="Arial" w:eastAsia="Times New Roman" w:hAnsi="Arial" w:cs="Arial"/>
          <w:i/>
          <w:iCs/>
          <w:color w:val="000000"/>
          <w:kern w:val="0"/>
          <w:sz w:val="21"/>
          <w:szCs w:val="21"/>
          <w:lang w:eastAsia="it-IT"/>
          <w14:ligatures w14:val="none"/>
        </w:rPr>
        <w:t>Francesco Polidori, fondatore tra l’altro di CEPU, CESD e E-campus.</w:t>
      </w:r>
    </w:p>
    <w:p w14:paraId="106158B9"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 xml:space="preserve">E’ evidente a tutti che un percorso formativo di qualità, nel quale acquisire competenze sulle didattiche disciplinari, richieda tempi congrui, una proposta formativa equilibrata, esami, </w:t>
      </w:r>
      <w:proofErr w:type="gramStart"/>
      <w:r w:rsidRPr="00DF598B">
        <w:rPr>
          <w:rFonts w:ascii="Arial" w:eastAsia="Times New Roman" w:hAnsi="Arial" w:cs="Arial"/>
          <w:color w:val="000000"/>
          <w:kern w:val="0"/>
          <w:sz w:val="21"/>
          <w:szCs w:val="21"/>
          <w:lang w:eastAsia="it-IT"/>
          <w14:ligatures w14:val="none"/>
        </w:rPr>
        <w:t>studio  e</w:t>
      </w:r>
      <w:proofErr w:type="gramEnd"/>
      <w:r w:rsidRPr="00DF598B">
        <w:rPr>
          <w:rFonts w:ascii="Arial" w:eastAsia="Times New Roman" w:hAnsi="Arial" w:cs="Arial"/>
          <w:color w:val="000000"/>
          <w:kern w:val="0"/>
          <w:sz w:val="21"/>
          <w:szCs w:val="21"/>
          <w:lang w:eastAsia="it-IT"/>
          <w14:ligatures w14:val="none"/>
        </w:rPr>
        <w:t xml:space="preserve"> approfondimento che non possono essere realizzati in tempi incredibilmente compressi</w:t>
      </w:r>
    </w:p>
    <w:p w14:paraId="019576D2"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Considerato che ogni</w:t>
      </w:r>
      <w:r w:rsidRPr="00DF598B">
        <w:rPr>
          <w:rFonts w:ascii="Arial" w:eastAsia="Times New Roman" w:hAnsi="Arial" w:cs="Arial"/>
          <w:b/>
          <w:bCs/>
          <w:color w:val="000000"/>
          <w:kern w:val="0"/>
          <w:sz w:val="21"/>
          <w:szCs w:val="21"/>
          <w:lang w:eastAsia="it-IT"/>
          <w14:ligatures w14:val="none"/>
        </w:rPr>
        <w:t> credito (CFU) richiede di norma, secondo i parametri delle Università, 25 ore di lavoro, comprensive di lezioni e studio individuale, si calcola che ai docenti interessati sarebbe richiesto un impegno quantificabile in 750 ore in 17 giorni.</w:t>
      </w:r>
    </w:p>
    <w:p w14:paraId="5DFBFFF3"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Si tratta evidentemente di una </w:t>
      </w:r>
      <w:r w:rsidRPr="00DF598B">
        <w:rPr>
          <w:rFonts w:ascii="Arial" w:eastAsia="Times New Roman" w:hAnsi="Arial" w:cs="Arial"/>
          <w:b/>
          <w:bCs/>
          <w:color w:val="000000"/>
          <w:kern w:val="0"/>
          <w:sz w:val="21"/>
          <w:szCs w:val="21"/>
          <w:lang w:eastAsia="it-IT"/>
          <w14:ligatures w14:val="none"/>
        </w:rPr>
        <w:t>compravendita di titoli</w:t>
      </w:r>
      <w:r w:rsidRPr="00DF598B">
        <w:rPr>
          <w:rFonts w:ascii="Arial" w:eastAsia="Times New Roman" w:hAnsi="Arial" w:cs="Arial"/>
          <w:color w:val="000000"/>
          <w:kern w:val="0"/>
          <w:sz w:val="21"/>
          <w:szCs w:val="21"/>
          <w:lang w:eastAsia="it-IT"/>
          <w14:ligatures w14:val="none"/>
        </w:rPr>
        <w:t> che nulla ha a che fare con una preparazione di qualità che dovrebbe essere il primo requisito di accesso all’insegnamento nel sistema scolastico nazionale.</w:t>
      </w:r>
    </w:p>
    <w:p w14:paraId="2796E6D2"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 xml:space="preserve">Mancano totalmente, da parte dei ministeri responsabili, quello dell’Istruzione e quello dell’Università, governo e controllo dei processi di formazione iniziale; mancano le risorse a favore </w:t>
      </w:r>
      <w:proofErr w:type="gramStart"/>
      <w:r w:rsidRPr="00DF598B">
        <w:rPr>
          <w:rFonts w:ascii="Arial" w:eastAsia="Times New Roman" w:hAnsi="Arial" w:cs="Arial"/>
          <w:color w:val="000000"/>
          <w:kern w:val="0"/>
          <w:sz w:val="21"/>
          <w:szCs w:val="21"/>
          <w:lang w:eastAsia="it-IT"/>
          <w14:ligatures w14:val="none"/>
        </w:rPr>
        <w:t>delle  università</w:t>
      </w:r>
      <w:proofErr w:type="gramEnd"/>
      <w:r w:rsidRPr="00DF598B">
        <w:rPr>
          <w:rFonts w:ascii="Arial" w:eastAsia="Times New Roman" w:hAnsi="Arial" w:cs="Arial"/>
          <w:color w:val="000000"/>
          <w:kern w:val="0"/>
          <w:sz w:val="21"/>
          <w:szCs w:val="21"/>
          <w:lang w:eastAsia="it-IT"/>
          <w14:ligatures w14:val="none"/>
        </w:rPr>
        <w:t xml:space="preserve"> </w:t>
      </w:r>
      <w:r w:rsidRPr="00DF598B">
        <w:rPr>
          <w:rFonts w:ascii="Arial" w:eastAsia="Times New Roman" w:hAnsi="Arial" w:cs="Arial"/>
          <w:color w:val="000000"/>
          <w:kern w:val="0"/>
          <w:sz w:val="21"/>
          <w:szCs w:val="21"/>
          <w:lang w:eastAsia="it-IT"/>
          <w14:ligatures w14:val="none"/>
        </w:rPr>
        <w:lastRenderedPageBreak/>
        <w:t>statali, per abbassare i costi delle tasse e alzare la qualità dell’offerta formativa, manca un’idea di formazione in ingresso come strumento di qualificazione delle professionalità che operano nella scuola.</w:t>
      </w:r>
    </w:p>
    <w:p w14:paraId="6321C78D"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Al contrario prevale il mercato dei titoli che svuota progressivamente le tasche dei docenti, precari e non, che intendono abilitarsi, e riempie quelle delle università telematiche.</w:t>
      </w:r>
    </w:p>
    <w:p w14:paraId="21F14E15" w14:textId="77777777" w:rsidR="00DF598B" w:rsidRPr="00DF598B" w:rsidRDefault="00DF598B" w:rsidP="00DF598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598B">
        <w:rPr>
          <w:rFonts w:ascii="Arial" w:eastAsia="Times New Roman" w:hAnsi="Arial" w:cs="Arial"/>
          <w:color w:val="000000"/>
          <w:kern w:val="0"/>
          <w:sz w:val="21"/>
          <w:szCs w:val="21"/>
          <w:lang w:eastAsia="it-IT"/>
          <w14:ligatures w14:val="none"/>
        </w:rPr>
        <w:t>La </w:t>
      </w:r>
      <w:hyperlink r:id="rId17" w:tgtFrame="_blank" w:history="1">
        <w:r w:rsidRPr="00DF598B">
          <w:rPr>
            <w:rFonts w:ascii="Arial" w:eastAsia="Times New Roman" w:hAnsi="Arial" w:cs="Arial"/>
            <w:color w:val="005EB3"/>
            <w:kern w:val="0"/>
            <w:sz w:val="21"/>
            <w:szCs w:val="21"/>
            <w:u w:val="single"/>
            <w:lang w:eastAsia="it-IT"/>
            <w14:ligatures w14:val="none"/>
          </w:rPr>
          <w:t>FLC CGIL ha segnalato per l’ennesima volta a entrambi i minister</w:t>
        </w:r>
      </w:hyperlink>
      <w:r w:rsidRPr="00DF598B">
        <w:rPr>
          <w:rFonts w:ascii="Arial" w:eastAsia="Times New Roman" w:hAnsi="Arial" w:cs="Arial"/>
          <w:color w:val="000000"/>
          <w:kern w:val="0"/>
          <w:sz w:val="21"/>
          <w:szCs w:val="21"/>
          <w:lang w:eastAsia="it-IT"/>
          <w14:ligatures w14:val="none"/>
        </w:rPr>
        <w:t>i competenti queste storture e chiede la costituzione di una cabina di regia, con una rappresentanza sindacale, che monitori i percorsi con l’obiettivo di salvaguardare la qualità del sistema scolastico.</w:t>
      </w:r>
    </w:p>
    <w:p w14:paraId="0947D7BC"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267DE"/>
    <w:multiLevelType w:val="multilevel"/>
    <w:tmpl w:val="E88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F6F66"/>
    <w:multiLevelType w:val="multilevel"/>
    <w:tmpl w:val="E4EE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16232"/>
    <w:multiLevelType w:val="multilevel"/>
    <w:tmpl w:val="A2A0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671244">
    <w:abstractNumId w:val="0"/>
  </w:num>
  <w:num w:numId="2" w16cid:durableId="1332412817">
    <w:abstractNumId w:val="2"/>
  </w:num>
  <w:num w:numId="3" w16cid:durableId="213879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8B"/>
    <w:rsid w:val="000D0D40"/>
    <w:rsid w:val="000D0EC2"/>
    <w:rsid w:val="005F2155"/>
    <w:rsid w:val="0083434C"/>
    <w:rsid w:val="00D140CD"/>
    <w:rsid w:val="00DF598B"/>
    <w:rsid w:val="00E47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AAC3"/>
  <w15:chartTrackingRefBased/>
  <w15:docId w15:val="{1D3E0E6A-4BF4-4FBD-8274-0B5E7BCA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0714">
      <w:bodyDiv w:val="1"/>
      <w:marLeft w:val="0"/>
      <w:marRight w:val="0"/>
      <w:marTop w:val="0"/>
      <w:marBottom w:val="0"/>
      <w:divBdr>
        <w:top w:val="none" w:sz="0" w:space="0" w:color="auto"/>
        <w:left w:val="none" w:sz="0" w:space="0" w:color="auto"/>
        <w:bottom w:val="none" w:sz="0" w:space="0" w:color="auto"/>
        <w:right w:val="none" w:sz="0" w:space="0" w:color="auto"/>
      </w:divBdr>
      <w:divsChild>
        <w:div w:id="1591281066">
          <w:marLeft w:val="0"/>
          <w:marRight w:val="0"/>
          <w:marTop w:val="150"/>
          <w:marBottom w:val="150"/>
          <w:divBdr>
            <w:top w:val="none" w:sz="0" w:space="0" w:color="auto"/>
            <w:left w:val="none" w:sz="0" w:space="0" w:color="auto"/>
            <w:bottom w:val="single" w:sz="6" w:space="0" w:color="CCCCCC"/>
            <w:right w:val="none" w:sz="0" w:space="0" w:color="auto"/>
          </w:divBdr>
          <w:divsChild>
            <w:div w:id="519440047">
              <w:marLeft w:val="0"/>
              <w:marRight w:val="0"/>
              <w:marTop w:val="0"/>
              <w:marBottom w:val="0"/>
              <w:divBdr>
                <w:top w:val="none" w:sz="0" w:space="0" w:color="auto"/>
                <w:left w:val="none" w:sz="0" w:space="0" w:color="auto"/>
                <w:bottom w:val="none" w:sz="0" w:space="0" w:color="auto"/>
                <w:right w:val="none" w:sz="0" w:space="0" w:color="auto"/>
              </w:divBdr>
            </w:div>
          </w:divsChild>
        </w:div>
        <w:div w:id="136070900">
          <w:marLeft w:val="0"/>
          <w:marRight w:val="0"/>
          <w:marTop w:val="0"/>
          <w:marBottom w:val="0"/>
          <w:divBdr>
            <w:top w:val="none" w:sz="0" w:space="0" w:color="auto"/>
            <w:left w:val="none" w:sz="0" w:space="0" w:color="auto"/>
            <w:bottom w:val="none" w:sz="0" w:space="0" w:color="auto"/>
            <w:right w:val="none" w:sz="0" w:space="0" w:color="auto"/>
          </w:divBdr>
          <w:divsChild>
            <w:div w:id="1553223856">
              <w:marLeft w:val="75"/>
              <w:marRight w:val="150"/>
              <w:marTop w:val="45"/>
              <w:marBottom w:val="75"/>
              <w:divBdr>
                <w:top w:val="none" w:sz="0" w:space="0" w:color="auto"/>
                <w:left w:val="none" w:sz="0" w:space="0" w:color="auto"/>
                <w:bottom w:val="none" w:sz="0" w:space="0" w:color="auto"/>
                <w:right w:val="none" w:sz="0" w:space="0" w:color="auto"/>
              </w:divBdr>
            </w:div>
            <w:div w:id="352192934">
              <w:marLeft w:val="300"/>
              <w:marRight w:val="150"/>
              <w:marTop w:val="75"/>
              <w:marBottom w:val="0"/>
              <w:divBdr>
                <w:top w:val="none" w:sz="0" w:space="0" w:color="auto"/>
                <w:left w:val="none" w:sz="0" w:space="0" w:color="auto"/>
                <w:bottom w:val="none" w:sz="0" w:space="0" w:color="auto"/>
                <w:right w:val="none" w:sz="0" w:space="0" w:color="auto"/>
              </w:divBdr>
            </w:div>
            <w:div w:id="616061395">
              <w:marLeft w:val="300"/>
              <w:marRight w:val="150"/>
              <w:marTop w:val="75"/>
              <w:marBottom w:val="0"/>
              <w:divBdr>
                <w:top w:val="none" w:sz="0" w:space="0" w:color="auto"/>
                <w:left w:val="none" w:sz="0" w:space="0" w:color="auto"/>
                <w:bottom w:val="none" w:sz="0" w:space="0" w:color="auto"/>
                <w:right w:val="none" w:sz="0" w:space="0" w:color="auto"/>
              </w:divBdr>
            </w:div>
          </w:divsChild>
        </w:div>
        <w:div w:id="961883142">
          <w:marLeft w:val="0"/>
          <w:marRight w:val="0"/>
          <w:marTop w:val="75"/>
          <w:marBottom w:val="150"/>
          <w:divBdr>
            <w:top w:val="none" w:sz="0" w:space="0" w:color="auto"/>
            <w:left w:val="none" w:sz="0" w:space="0" w:color="auto"/>
            <w:bottom w:val="none" w:sz="0" w:space="0" w:color="auto"/>
            <w:right w:val="none" w:sz="0" w:space="0" w:color="auto"/>
          </w:divBdr>
          <w:divsChild>
            <w:div w:id="806970954">
              <w:marLeft w:val="0"/>
              <w:marRight w:val="0"/>
              <w:marTop w:val="45"/>
              <w:marBottom w:val="0"/>
              <w:divBdr>
                <w:top w:val="none" w:sz="0" w:space="0" w:color="auto"/>
                <w:left w:val="single" w:sz="48" w:space="0" w:color="FFFFFF"/>
                <w:bottom w:val="single" w:sz="48" w:space="0" w:color="FFFFFF"/>
                <w:right w:val="none" w:sz="0" w:space="0" w:color="auto"/>
              </w:divBdr>
              <w:divsChild>
                <w:div w:id="1278871413">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362174568">
      <w:bodyDiv w:val="1"/>
      <w:marLeft w:val="0"/>
      <w:marRight w:val="0"/>
      <w:marTop w:val="0"/>
      <w:marBottom w:val="0"/>
      <w:divBdr>
        <w:top w:val="none" w:sz="0" w:space="0" w:color="auto"/>
        <w:left w:val="none" w:sz="0" w:space="0" w:color="auto"/>
        <w:bottom w:val="none" w:sz="0" w:space="0" w:color="auto"/>
        <w:right w:val="none" w:sz="0" w:space="0" w:color="auto"/>
      </w:divBdr>
      <w:divsChild>
        <w:div w:id="485897517">
          <w:marLeft w:val="0"/>
          <w:marRight w:val="0"/>
          <w:marTop w:val="150"/>
          <w:marBottom w:val="150"/>
          <w:divBdr>
            <w:top w:val="none" w:sz="0" w:space="0" w:color="auto"/>
            <w:left w:val="none" w:sz="0" w:space="0" w:color="auto"/>
            <w:bottom w:val="single" w:sz="6" w:space="0" w:color="CCCCCC"/>
            <w:right w:val="none" w:sz="0" w:space="0" w:color="auto"/>
          </w:divBdr>
          <w:divsChild>
            <w:div w:id="1895507421">
              <w:marLeft w:val="0"/>
              <w:marRight w:val="0"/>
              <w:marTop w:val="0"/>
              <w:marBottom w:val="0"/>
              <w:divBdr>
                <w:top w:val="none" w:sz="0" w:space="0" w:color="auto"/>
                <w:left w:val="none" w:sz="0" w:space="0" w:color="auto"/>
                <w:bottom w:val="none" w:sz="0" w:space="0" w:color="auto"/>
                <w:right w:val="none" w:sz="0" w:space="0" w:color="auto"/>
              </w:divBdr>
            </w:div>
          </w:divsChild>
        </w:div>
        <w:div w:id="1851412284">
          <w:marLeft w:val="0"/>
          <w:marRight w:val="0"/>
          <w:marTop w:val="0"/>
          <w:marBottom w:val="0"/>
          <w:divBdr>
            <w:top w:val="none" w:sz="0" w:space="0" w:color="auto"/>
            <w:left w:val="none" w:sz="0" w:space="0" w:color="auto"/>
            <w:bottom w:val="none" w:sz="0" w:space="0" w:color="auto"/>
            <w:right w:val="none" w:sz="0" w:space="0" w:color="auto"/>
          </w:divBdr>
          <w:divsChild>
            <w:div w:id="67654694">
              <w:marLeft w:val="75"/>
              <w:marRight w:val="150"/>
              <w:marTop w:val="45"/>
              <w:marBottom w:val="75"/>
              <w:divBdr>
                <w:top w:val="none" w:sz="0" w:space="0" w:color="auto"/>
                <w:left w:val="none" w:sz="0" w:space="0" w:color="auto"/>
                <w:bottom w:val="none" w:sz="0" w:space="0" w:color="auto"/>
                <w:right w:val="none" w:sz="0" w:space="0" w:color="auto"/>
              </w:divBdr>
            </w:div>
            <w:div w:id="1577591144">
              <w:marLeft w:val="300"/>
              <w:marRight w:val="150"/>
              <w:marTop w:val="75"/>
              <w:marBottom w:val="0"/>
              <w:divBdr>
                <w:top w:val="none" w:sz="0" w:space="0" w:color="auto"/>
                <w:left w:val="none" w:sz="0" w:space="0" w:color="auto"/>
                <w:bottom w:val="none" w:sz="0" w:space="0" w:color="auto"/>
                <w:right w:val="none" w:sz="0" w:space="0" w:color="auto"/>
              </w:divBdr>
            </w:div>
            <w:div w:id="792015194">
              <w:marLeft w:val="300"/>
              <w:marRight w:val="150"/>
              <w:marTop w:val="75"/>
              <w:marBottom w:val="0"/>
              <w:divBdr>
                <w:top w:val="none" w:sz="0" w:space="0" w:color="auto"/>
                <w:left w:val="none" w:sz="0" w:space="0" w:color="auto"/>
                <w:bottom w:val="none" w:sz="0" w:space="0" w:color="auto"/>
                <w:right w:val="none" w:sz="0" w:space="0" w:color="auto"/>
              </w:divBdr>
            </w:div>
          </w:divsChild>
        </w:div>
        <w:div w:id="1397319177">
          <w:marLeft w:val="0"/>
          <w:marRight w:val="0"/>
          <w:marTop w:val="75"/>
          <w:marBottom w:val="150"/>
          <w:divBdr>
            <w:top w:val="none" w:sz="0" w:space="0" w:color="auto"/>
            <w:left w:val="none" w:sz="0" w:space="0" w:color="auto"/>
            <w:bottom w:val="none" w:sz="0" w:space="0" w:color="auto"/>
            <w:right w:val="none" w:sz="0" w:space="0" w:color="auto"/>
          </w:divBdr>
        </w:div>
      </w:divsChild>
    </w:div>
    <w:div w:id="491718877">
      <w:bodyDiv w:val="1"/>
      <w:marLeft w:val="0"/>
      <w:marRight w:val="0"/>
      <w:marTop w:val="0"/>
      <w:marBottom w:val="0"/>
      <w:divBdr>
        <w:top w:val="none" w:sz="0" w:space="0" w:color="auto"/>
        <w:left w:val="none" w:sz="0" w:space="0" w:color="auto"/>
        <w:bottom w:val="none" w:sz="0" w:space="0" w:color="auto"/>
        <w:right w:val="none" w:sz="0" w:space="0" w:color="auto"/>
      </w:divBdr>
      <w:divsChild>
        <w:div w:id="1272207297">
          <w:marLeft w:val="0"/>
          <w:marRight w:val="0"/>
          <w:marTop w:val="150"/>
          <w:marBottom w:val="150"/>
          <w:divBdr>
            <w:top w:val="none" w:sz="0" w:space="0" w:color="auto"/>
            <w:left w:val="none" w:sz="0" w:space="0" w:color="auto"/>
            <w:bottom w:val="single" w:sz="6" w:space="0" w:color="CCCCCC"/>
            <w:right w:val="none" w:sz="0" w:space="0" w:color="auto"/>
          </w:divBdr>
          <w:divsChild>
            <w:div w:id="1056196308">
              <w:marLeft w:val="0"/>
              <w:marRight w:val="0"/>
              <w:marTop w:val="0"/>
              <w:marBottom w:val="0"/>
              <w:divBdr>
                <w:top w:val="none" w:sz="0" w:space="0" w:color="auto"/>
                <w:left w:val="none" w:sz="0" w:space="0" w:color="auto"/>
                <w:bottom w:val="none" w:sz="0" w:space="0" w:color="auto"/>
                <w:right w:val="none" w:sz="0" w:space="0" w:color="auto"/>
              </w:divBdr>
            </w:div>
          </w:divsChild>
        </w:div>
        <w:div w:id="1656494752">
          <w:marLeft w:val="0"/>
          <w:marRight w:val="0"/>
          <w:marTop w:val="0"/>
          <w:marBottom w:val="0"/>
          <w:divBdr>
            <w:top w:val="none" w:sz="0" w:space="0" w:color="auto"/>
            <w:left w:val="none" w:sz="0" w:space="0" w:color="auto"/>
            <w:bottom w:val="none" w:sz="0" w:space="0" w:color="auto"/>
            <w:right w:val="none" w:sz="0" w:space="0" w:color="auto"/>
          </w:divBdr>
          <w:divsChild>
            <w:div w:id="771172900">
              <w:marLeft w:val="75"/>
              <w:marRight w:val="150"/>
              <w:marTop w:val="45"/>
              <w:marBottom w:val="75"/>
              <w:divBdr>
                <w:top w:val="none" w:sz="0" w:space="0" w:color="auto"/>
                <w:left w:val="none" w:sz="0" w:space="0" w:color="auto"/>
                <w:bottom w:val="none" w:sz="0" w:space="0" w:color="auto"/>
                <w:right w:val="none" w:sz="0" w:space="0" w:color="auto"/>
              </w:divBdr>
            </w:div>
            <w:div w:id="1183595964">
              <w:marLeft w:val="300"/>
              <w:marRight w:val="150"/>
              <w:marTop w:val="75"/>
              <w:marBottom w:val="0"/>
              <w:divBdr>
                <w:top w:val="none" w:sz="0" w:space="0" w:color="auto"/>
                <w:left w:val="none" w:sz="0" w:space="0" w:color="auto"/>
                <w:bottom w:val="none" w:sz="0" w:space="0" w:color="auto"/>
                <w:right w:val="none" w:sz="0" w:space="0" w:color="auto"/>
              </w:divBdr>
            </w:div>
            <w:div w:id="1666400787">
              <w:marLeft w:val="300"/>
              <w:marRight w:val="150"/>
              <w:marTop w:val="75"/>
              <w:marBottom w:val="0"/>
              <w:divBdr>
                <w:top w:val="none" w:sz="0" w:space="0" w:color="auto"/>
                <w:left w:val="none" w:sz="0" w:space="0" w:color="auto"/>
                <w:bottom w:val="none" w:sz="0" w:space="0" w:color="auto"/>
                <w:right w:val="none" w:sz="0" w:space="0" w:color="auto"/>
              </w:divBdr>
            </w:div>
          </w:divsChild>
        </w:div>
        <w:div w:id="1948997665">
          <w:marLeft w:val="0"/>
          <w:marRight w:val="0"/>
          <w:marTop w:val="75"/>
          <w:marBottom w:val="150"/>
          <w:divBdr>
            <w:top w:val="none" w:sz="0" w:space="0" w:color="auto"/>
            <w:left w:val="none" w:sz="0" w:space="0" w:color="auto"/>
            <w:bottom w:val="none" w:sz="0" w:space="0" w:color="auto"/>
            <w:right w:val="none" w:sz="0" w:space="0" w:color="auto"/>
          </w:divBdr>
          <w:divsChild>
            <w:div w:id="18459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9403">
      <w:bodyDiv w:val="1"/>
      <w:marLeft w:val="0"/>
      <w:marRight w:val="0"/>
      <w:marTop w:val="0"/>
      <w:marBottom w:val="0"/>
      <w:divBdr>
        <w:top w:val="none" w:sz="0" w:space="0" w:color="auto"/>
        <w:left w:val="none" w:sz="0" w:space="0" w:color="auto"/>
        <w:bottom w:val="none" w:sz="0" w:space="0" w:color="auto"/>
        <w:right w:val="none" w:sz="0" w:space="0" w:color="auto"/>
      </w:divBdr>
      <w:divsChild>
        <w:div w:id="206992225">
          <w:marLeft w:val="0"/>
          <w:marRight w:val="0"/>
          <w:marTop w:val="150"/>
          <w:marBottom w:val="150"/>
          <w:divBdr>
            <w:top w:val="none" w:sz="0" w:space="0" w:color="auto"/>
            <w:left w:val="none" w:sz="0" w:space="0" w:color="auto"/>
            <w:bottom w:val="single" w:sz="6" w:space="0" w:color="CCCCCC"/>
            <w:right w:val="none" w:sz="0" w:space="0" w:color="auto"/>
          </w:divBdr>
          <w:divsChild>
            <w:div w:id="502748219">
              <w:marLeft w:val="0"/>
              <w:marRight w:val="0"/>
              <w:marTop w:val="0"/>
              <w:marBottom w:val="0"/>
              <w:divBdr>
                <w:top w:val="none" w:sz="0" w:space="0" w:color="auto"/>
                <w:left w:val="none" w:sz="0" w:space="0" w:color="auto"/>
                <w:bottom w:val="none" w:sz="0" w:space="0" w:color="auto"/>
                <w:right w:val="none" w:sz="0" w:space="0" w:color="auto"/>
              </w:divBdr>
            </w:div>
          </w:divsChild>
        </w:div>
        <w:div w:id="1534611514">
          <w:marLeft w:val="0"/>
          <w:marRight w:val="0"/>
          <w:marTop w:val="0"/>
          <w:marBottom w:val="0"/>
          <w:divBdr>
            <w:top w:val="none" w:sz="0" w:space="0" w:color="auto"/>
            <w:left w:val="none" w:sz="0" w:space="0" w:color="auto"/>
            <w:bottom w:val="none" w:sz="0" w:space="0" w:color="auto"/>
            <w:right w:val="none" w:sz="0" w:space="0" w:color="auto"/>
          </w:divBdr>
          <w:divsChild>
            <w:div w:id="2132281064">
              <w:marLeft w:val="75"/>
              <w:marRight w:val="150"/>
              <w:marTop w:val="45"/>
              <w:marBottom w:val="75"/>
              <w:divBdr>
                <w:top w:val="none" w:sz="0" w:space="0" w:color="auto"/>
                <w:left w:val="none" w:sz="0" w:space="0" w:color="auto"/>
                <w:bottom w:val="none" w:sz="0" w:space="0" w:color="auto"/>
                <w:right w:val="none" w:sz="0" w:space="0" w:color="auto"/>
              </w:divBdr>
            </w:div>
            <w:div w:id="2146654523">
              <w:marLeft w:val="300"/>
              <w:marRight w:val="150"/>
              <w:marTop w:val="75"/>
              <w:marBottom w:val="0"/>
              <w:divBdr>
                <w:top w:val="none" w:sz="0" w:space="0" w:color="auto"/>
                <w:left w:val="none" w:sz="0" w:space="0" w:color="auto"/>
                <w:bottom w:val="none" w:sz="0" w:space="0" w:color="auto"/>
                <w:right w:val="none" w:sz="0" w:space="0" w:color="auto"/>
              </w:divBdr>
            </w:div>
            <w:div w:id="1632130483">
              <w:marLeft w:val="300"/>
              <w:marRight w:val="150"/>
              <w:marTop w:val="75"/>
              <w:marBottom w:val="0"/>
              <w:divBdr>
                <w:top w:val="none" w:sz="0" w:space="0" w:color="auto"/>
                <w:left w:val="none" w:sz="0" w:space="0" w:color="auto"/>
                <w:bottom w:val="none" w:sz="0" w:space="0" w:color="auto"/>
                <w:right w:val="none" w:sz="0" w:space="0" w:color="auto"/>
              </w:divBdr>
            </w:div>
          </w:divsChild>
        </w:div>
        <w:div w:id="1095783828">
          <w:marLeft w:val="0"/>
          <w:marRight w:val="0"/>
          <w:marTop w:val="75"/>
          <w:marBottom w:val="150"/>
          <w:divBdr>
            <w:top w:val="none" w:sz="0" w:space="0" w:color="auto"/>
            <w:left w:val="none" w:sz="0" w:space="0" w:color="auto"/>
            <w:bottom w:val="none" w:sz="0" w:space="0" w:color="auto"/>
            <w:right w:val="none" w:sz="0" w:space="0" w:color="auto"/>
          </w:divBdr>
          <w:divsChild>
            <w:div w:id="1603340539">
              <w:marLeft w:val="0"/>
              <w:marRight w:val="0"/>
              <w:marTop w:val="0"/>
              <w:marBottom w:val="0"/>
              <w:divBdr>
                <w:top w:val="none" w:sz="0" w:space="0" w:color="auto"/>
                <w:left w:val="none" w:sz="0" w:space="0" w:color="auto"/>
                <w:bottom w:val="none" w:sz="0" w:space="0" w:color="auto"/>
                <w:right w:val="none" w:sz="0" w:space="0" w:color="auto"/>
              </w:divBdr>
            </w:div>
            <w:div w:id="21180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1311">
      <w:bodyDiv w:val="1"/>
      <w:marLeft w:val="0"/>
      <w:marRight w:val="0"/>
      <w:marTop w:val="0"/>
      <w:marBottom w:val="0"/>
      <w:divBdr>
        <w:top w:val="none" w:sz="0" w:space="0" w:color="auto"/>
        <w:left w:val="none" w:sz="0" w:space="0" w:color="auto"/>
        <w:bottom w:val="none" w:sz="0" w:space="0" w:color="auto"/>
        <w:right w:val="none" w:sz="0" w:space="0" w:color="auto"/>
      </w:divBdr>
      <w:divsChild>
        <w:div w:id="1608657323">
          <w:marLeft w:val="0"/>
          <w:marRight w:val="0"/>
          <w:marTop w:val="150"/>
          <w:marBottom w:val="150"/>
          <w:divBdr>
            <w:top w:val="none" w:sz="0" w:space="0" w:color="auto"/>
            <w:left w:val="none" w:sz="0" w:space="0" w:color="auto"/>
            <w:bottom w:val="single" w:sz="6" w:space="0" w:color="CCCCCC"/>
            <w:right w:val="none" w:sz="0" w:space="0" w:color="auto"/>
          </w:divBdr>
          <w:divsChild>
            <w:div w:id="2026439916">
              <w:marLeft w:val="0"/>
              <w:marRight w:val="0"/>
              <w:marTop w:val="0"/>
              <w:marBottom w:val="0"/>
              <w:divBdr>
                <w:top w:val="none" w:sz="0" w:space="0" w:color="auto"/>
                <w:left w:val="none" w:sz="0" w:space="0" w:color="auto"/>
                <w:bottom w:val="none" w:sz="0" w:space="0" w:color="auto"/>
                <w:right w:val="none" w:sz="0" w:space="0" w:color="auto"/>
              </w:divBdr>
            </w:div>
          </w:divsChild>
        </w:div>
        <w:div w:id="398790963">
          <w:marLeft w:val="0"/>
          <w:marRight w:val="0"/>
          <w:marTop w:val="0"/>
          <w:marBottom w:val="0"/>
          <w:divBdr>
            <w:top w:val="none" w:sz="0" w:space="0" w:color="auto"/>
            <w:left w:val="none" w:sz="0" w:space="0" w:color="auto"/>
            <w:bottom w:val="none" w:sz="0" w:space="0" w:color="auto"/>
            <w:right w:val="none" w:sz="0" w:space="0" w:color="auto"/>
          </w:divBdr>
          <w:divsChild>
            <w:div w:id="557547149">
              <w:marLeft w:val="75"/>
              <w:marRight w:val="150"/>
              <w:marTop w:val="45"/>
              <w:marBottom w:val="75"/>
              <w:divBdr>
                <w:top w:val="none" w:sz="0" w:space="0" w:color="auto"/>
                <w:left w:val="none" w:sz="0" w:space="0" w:color="auto"/>
                <w:bottom w:val="none" w:sz="0" w:space="0" w:color="auto"/>
                <w:right w:val="none" w:sz="0" w:space="0" w:color="auto"/>
              </w:divBdr>
            </w:div>
            <w:div w:id="321469590">
              <w:marLeft w:val="300"/>
              <w:marRight w:val="150"/>
              <w:marTop w:val="75"/>
              <w:marBottom w:val="0"/>
              <w:divBdr>
                <w:top w:val="none" w:sz="0" w:space="0" w:color="auto"/>
                <w:left w:val="none" w:sz="0" w:space="0" w:color="auto"/>
                <w:bottom w:val="none" w:sz="0" w:space="0" w:color="auto"/>
                <w:right w:val="none" w:sz="0" w:space="0" w:color="auto"/>
              </w:divBdr>
            </w:div>
            <w:div w:id="1740588257">
              <w:marLeft w:val="300"/>
              <w:marRight w:val="150"/>
              <w:marTop w:val="75"/>
              <w:marBottom w:val="0"/>
              <w:divBdr>
                <w:top w:val="none" w:sz="0" w:space="0" w:color="auto"/>
                <w:left w:val="none" w:sz="0" w:space="0" w:color="auto"/>
                <w:bottom w:val="none" w:sz="0" w:space="0" w:color="auto"/>
                <w:right w:val="none" w:sz="0" w:space="0" w:color="auto"/>
              </w:divBdr>
            </w:div>
          </w:divsChild>
        </w:div>
        <w:div w:id="787044785">
          <w:marLeft w:val="0"/>
          <w:marRight w:val="0"/>
          <w:marTop w:val="75"/>
          <w:marBottom w:val="150"/>
          <w:divBdr>
            <w:top w:val="none" w:sz="0" w:space="0" w:color="auto"/>
            <w:left w:val="none" w:sz="0" w:space="0" w:color="auto"/>
            <w:bottom w:val="none" w:sz="0" w:space="0" w:color="auto"/>
            <w:right w:val="none" w:sz="0" w:space="0" w:color="auto"/>
          </w:divBdr>
          <w:divsChild>
            <w:div w:id="781877246">
              <w:marLeft w:val="0"/>
              <w:marRight w:val="0"/>
              <w:marTop w:val="45"/>
              <w:marBottom w:val="0"/>
              <w:divBdr>
                <w:top w:val="none" w:sz="0" w:space="0" w:color="auto"/>
                <w:left w:val="single" w:sz="48" w:space="0" w:color="FFFFFF"/>
                <w:bottom w:val="single" w:sz="48" w:space="0" w:color="FFFFFF"/>
                <w:right w:val="none" w:sz="0" w:space="0" w:color="auto"/>
              </w:divBdr>
              <w:divsChild>
                <w:div w:id="132547147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contratti/documenti/scuola/ccni-scuola-utilizzazioni-e-assegnazioni-provvisorie-triennio-2019-2022-del-8-luglio-2020.flc" TargetMode="External"/><Relationship Id="rId13" Type="http://schemas.openxmlformats.org/officeDocument/2006/relationships/hyperlink" Target="https://web.archive.org/web/20141019103811/http:/rassegnastampa.crui.it/minirass/immagini/1201121/201201123262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scuola/assegnazioni-provvisorie-il-ministero-convochi-subito-i-sindacati.flc" TargetMode="External"/><Relationship Id="rId12" Type="http://schemas.openxmlformats.org/officeDocument/2006/relationships/hyperlink" Target="https://www.unilink.it/didattica/percorsi-formativi-abilitanti" TargetMode="External"/><Relationship Id="rId17" Type="http://schemas.openxmlformats.org/officeDocument/2006/relationships/hyperlink" Target="https://www.flcgil.it/sindacato/documenti/scuola/flc-cgil-lettera-ai-ministri-mim-e-mur-segnalazione-anomalie-percorsi-formativi-estivi-link-campus-university.flc" TargetMode="External"/><Relationship Id="rId2" Type="http://schemas.openxmlformats.org/officeDocument/2006/relationships/styles" Target="styles.xml"/><Relationship Id="rId16" Type="http://schemas.openxmlformats.org/officeDocument/2006/relationships/hyperlink" Target="https://roma.repubblica.it/cronaca/2023/10/16/news/carlo_maria_medaglia_link_campus_arrestat-417934662/" TargetMode="External"/><Relationship Id="rId1" Type="http://schemas.openxmlformats.org/officeDocument/2006/relationships/numbering" Target="numbering.xml"/><Relationship Id="rId6" Type="http://schemas.openxmlformats.org/officeDocument/2006/relationships/hyperlink" Target="https://www.flcgil.it/scuola/ccni-utilizzazioni-e-assegnazioni-provvisorie-as-2024-2025-convocazione-mim-17-giugno-2024.flc" TargetMode="External"/><Relationship Id="rId11" Type="http://schemas.openxmlformats.org/officeDocument/2006/relationships/hyperlink" Target="https://www.collettiva.it/tag/inclusione" TargetMode="External"/><Relationship Id="rId5" Type="http://schemas.openxmlformats.org/officeDocument/2006/relationships/hyperlink" Target="https://www.flcgil.it/contratti/documenti/istruzione-e-ricerca/ccnl-comparto-istruzione-e-ricerca-2019-2021-18-gennaio-2024.flc" TargetMode="External"/><Relationship Id="rId15" Type="http://schemas.openxmlformats.org/officeDocument/2006/relationships/hyperlink" Target="https://www.rainews.it/articoli/2022/02/firenze-esami-facili-alla-link-university-9-rinvii-a-giudizio-anche-lex-ministro-scotti--70be6e95-3428-49a4-94e6-e9a657ce24f8.html" TargetMode="External"/><Relationship Id="rId10" Type="http://schemas.openxmlformats.org/officeDocument/2006/relationships/hyperlink" Target="https://www.collettiva.it/tag/scuol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ettiva.it/tag/giuseppe-valditara" TargetMode="External"/><Relationship Id="rId14" Type="http://schemas.openxmlformats.org/officeDocument/2006/relationships/hyperlink" Target="https://www.ilfoglio.it/cronache/2019/04/18/news/lintrovabile-mifsud-nascosto-a-roma-25031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2024-06-21T15:56:00Z</dcterms:created>
  <dcterms:modified xsi:type="dcterms:W3CDTF">2024-06-22T07:17:00Z</dcterms:modified>
</cp:coreProperties>
</file>