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CE1BF" w14:textId="77777777" w:rsidR="00C04B9D" w:rsidRPr="00C04B9D" w:rsidRDefault="00C04B9D" w:rsidP="00C04B9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C04B9D">
        <w:rPr>
          <w:rFonts w:ascii="Tahoma" w:eastAsia="Times New Roman" w:hAnsi="Tahoma" w:cs="Tahoma"/>
          <w:color w:val="DC3B33"/>
          <w:kern w:val="36"/>
          <w:sz w:val="45"/>
          <w:szCs w:val="45"/>
          <w:lang w:eastAsia="it-IT"/>
          <w14:ligatures w14:val="none"/>
        </w:rPr>
        <w:t>Approvato in via definitiva il provvedimento istitutivo della filiera formativa tecnologico-professionale</w:t>
      </w:r>
    </w:p>
    <w:p w14:paraId="6ABD3D31" w14:textId="77777777" w:rsidR="00C04B9D" w:rsidRPr="00C04B9D" w:rsidRDefault="00C04B9D" w:rsidP="00C04B9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04B9D">
        <w:rPr>
          <w:rFonts w:ascii="Arial" w:eastAsia="Times New Roman" w:hAnsi="Arial" w:cs="Arial"/>
          <w:color w:val="535353"/>
          <w:kern w:val="0"/>
          <w:sz w:val="27"/>
          <w:szCs w:val="27"/>
          <w:lang w:eastAsia="it-IT"/>
          <w14:ligatures w14:val="none"/>
        </w:rPr>
        <w:t>Si apre alla regionalizzazione del sistema pubblico di istruzione, all’inserimento dei privati nella programmazione dell’offerta formativa e, con i percorsi quadriennali, si crea una formazione di ridotta qualità. Si manifesta un’idea di scuola esclusivamente funzionale al mercato e all’impresa.</w:t>
      </w:r>
    </w:p>
    <w:p w14:paraId="78E174B6" w14:textId="77777777" w:rsidR="00C04B9D" w:rsidRPr="00C04B9D" w:rsidRDefault="00C04B9D" w:rsidP="00C04B9D">
      <w:pPr>
        <w:shd w:val="clear" w:color="auto" w:fill="FFFFFF"/>
        <w:spacing w:after="0" w:line="240" w:lineRule="auto"/>
        <w:rPr>
          <w:rFonts w:ascii="Arial" w:eastAsia="Times New Roman" w:hAnsi="Arial" w:cs="Arial"/>
          <w:color w:val="4D4D4D"/>
          <w:kern w:val="0"/>
          <w:sz w:val="21"/>
          <w:szCs w:val="21"/>
          <w:lang w:eastAsia="it-IT"/>
          <w14:ligatures w14:val="none"/>
        </w:rPr>
      </w:pPr>
      <w:r w:rsidRPr="00C04B9D">
        <w:rPr>
          <w:rFonts w:ascii="Arial" w:eastAsia="Times New Roman" w:hAnsi="Arial" w:cs="Arial"/>
          <w:b/>
          <w:bCs/>
          <w:color w:val="4D4D4D"/>
          <w:kern w:val="0"/>
          <w:sz w:val="21"/>
          <w:szCs w:val="21"/>
          <w:lang w:eastAsia="it-IT"/>
          <w14:ligatures w14:val="none"/>
        </w:rPr>
        <w:t>31/07/2024</w:t>
      </w:r>
    </w:p>
    <w:p w14:paraId="6FC8726D" w14:textId="77777777" w:rsid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6030633" w14:textId="734D191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In data 31 luglio 2024 l’Assemblea Generale della Camera ha approvato il </w:t>
      </w:r>
      <w:hyperlink r:id="rId5" w:tgtFrame="_blank" w:history="1">
        <w:r w:rsidRPr="00C04B9D">
          <w:rPr>
            <w:rFonts w:ascii="Arial" w:eastAsia="Times New Roman" w:hAnsi="Arial" w:cs="Arial"/>
            <w:color w:val="005EB3"/>
            <w:kern w:val="0"/>
            <w:sz w:val="21"/>
            <w:szCs w:val="21"/>
            <w:lang w:eastAsia="it-IT"/>
            <w14:ligatures w14:val="none"/>
          </w:rPr>
          <w:t>disegno di legge</w:t>
        </w:r>
      </w:hyperlink>
      <w:r w:rsidRPr="00C04B9D">
        <w:rPr>
          <w:rFonts w:ascii="Arial" w:eastAsia="Times New Roman" w:hAnsi="Arial" w:cs="Arial"/>
          <w:color w:val="000000"/>
          <w:kern w:val="0"/>
          <w:sz w:val="21"/>
          <w:szCs w:val="21"/>
          <w:lang w:eastAsia="it-IT"/>
          <w14:ligatures w14:val="none"/>
        </w:rPr>
        <w:t> dl governativo riguardante la filiera formativa tecnologico-professionale. Il provvedimento era stato approvato il 31 gennaio 2024 (AS 924). Trasmesso, dunque, alla Camera dei deputati è stato assegnato alla VII Commissione (Cultura), dove le forze politiche di opposizione hanno presentato un totale di oltre 650 emendamenti che sono stati tutti respinti. Il provvedimento era già stato </w:t>
      </w:r>
      <w:hyperlink r:id="rId6" w:tgtFrame="_blank" w:history="1">
        <w:r w:rsidRPr="00C04B9D">
          <w:rPr>
            <w:rFonts w:ascii="Arial" w:eastAsia="Times New Roman" w:hAnsi="Arial" w:cs="Arial"/>
            <w:color w:val="005EB3"/>
            <w:kern w:val="0"/>
            <w:sz w:val="21"/>
            <w:szCs w:val="21"/>
            <w:lang w:eastAsia="it-IT"/>
            <w14:ligatures w14:val="none"/>
          </w:rPr>
          <w:t>avviato</w:t>
        </w:r>
      </w:hyperlink>
      <w:r w:rsidRPr="00C04B9D">
        <w:rPr>
          <w:rFonts w:ascii="Arial" w:eastAsia="Times New Roman" w:hAnsi="Arial" w:cs="Arial"/>
          <w:color w:val="000000"/>
          <w:kern w:val="0"/>
          <w:sz w:val="21"/>
          <w:szCs w:val="21"/>
          <w:lang w:eastAsia="it-IT"/>
          <w14:ligatures w14:val="none"/>
        </w:rPr>
        <w:t> dal </w:t>
      </w:r>
      <w:hyperlink r:id="rId7" w:tgtFrame="_blank" w:history="1">
        <w:r w:rsidRPr="00C04B9D">
          <w:rPr>
            <w:rFonts w:ascii="Arial" w:eastAsia="Times New Roman" w:hAnsi="Arial" w:cs="Arial"/>
            <w:color w:val="005EB3"/>
            <w:kern w:val="0"/>
            <w:sz w:val="21"/>
            <w:szCs w:val="21"/>
            <w:lang w:eastAsia="it-IT"/>
            <w14:ligatures w14:val="none"/>
          </w:rPr>
          <w:t>DM 240/2023</w:t>
        </w:r>
      </w:hyperlink>
      <w:r w:rsidRPr="00C04B9D">
        <w:rPr>
          <w:rFonts w:ascii="Arial" w:eastAsia="Times New Roman" w:hAnsi="Arial" w:cs="Arial"/>
          <w:color w:val="000000"/>
          <w:kern w:val="0"/>
          <w:sz w:val="21"/>
          <w:szCs w:val="21"/>
          <w:lang w:eastAsia="it-IT"/>
          <w14:ligatures w14:val="none"/>
        </w:rPr>
        <w:t> relativo alla sperimentazione quadriennale (cfr. </w:t>
      </w:r>
      <w:hyperlink r:id="rId8" w:tgtFrame="_blank" w:history="1">
        <w:r w:rsidRPr="00C04B9D">
          <w:rPr>
            <w:rFonts w:ascii="Arial" w:eastAsia="Times New Roman" w:hAnsi="Arial" w:cs="Arial"/>
            <w:color w:val="005EB3"/>
            <w:kern w:val="0"/>
            <w:sz w:val="21"/>
            <w:szCs w:val="21"/>
            <w:lang w:eastAsia="it-IT"/>
            <w14:ligatures w14:val="none"/>
          </w:rPr>
          <w:t>FAQ</w:t>
        </w:r>
      </w:hyperlink>
      <w:r w:rsidRPr="00C04B9D">
        <w:rPr>
          <w:rFonts w:ascii="Arial" w:eastAsia="Times New Roman" w:hAnsi="Arial" w:cs="Arial"/>
          <w:color w:val="000000"/>
          <w:kern w:val="0"/>
          <w:sz w:val="21"/>
          <w:szCs w:val="21"/>
          <w:lang w:eastAsia="it-IT"/>
          <w14:ligatures w14:val="none"/>
        </w:rPr>
        <w:t> FLC e </w:t>
      </w:r>
      <w:hyperlink r:id="rId9" w:tgtFrame="_blank" w:history="1">
        <w:r w:rsidRPr="00C04B9D">
          <w:rPr>
            <w:rFonts w:ascii="Arial" w:eastAsia="Times New Roman" w:hAnsi="Arial" w:cs="Arial"/>
            <w:color w:val="005EB3"/>
            <w:kern w:val="0"/>
            <w:sz w:val="21"/>
            <w:szCs w:val="21"/>
            <w:lang w:eastAsia="it-IT"/>
            <w14:ligatures w14:val="none"/>
          </w:rPr>
          <w:t>parere</w:t>
        </w:r>
      </w:hyperlink>
      <w:r w:rsidRPr="00C04B9D">
        <w:rPr>
          <w:rFonts w:ascii="Arial" w:eastAsia="Times New Roman" w:hAnsi="Arial" w:cs="Arial"/>
          <w:color w:val="000000"/>
          <w:kern w:val="0"/>
          <w:sz w:val="21"/>
          <w:szCs w:val="21"/>
          <w:lang w:eastAsia="it-IT"/>
          <w14:ligatures w14:val="none"/>
        </w:rPr>
        <w:t> CSPI).</w:t>
      </w:r>
    </w:p>
    <w:p w14:paraId="2D119AC2"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Il testo del DDL, composto di quattro articoli, all’articolo 1 reca l’introduzione nel decreto-legge n. 144 del 2022 di un nuovo articolo, il 25-bis, dedicato all’istituzione della filiera formativa tecnologico-professionale, introduce importanti novità che cerchiamo ora di riassumere per grandi linee.</w:t>
      </w:r>
    </w:p>
    <w:p w14:paraId="176AE237" w14:textId="77777777" w:rsidR="00C04B9D" w:rsidRPr="00C04B9D" w:rsidRDefault="00C04B9D" w:rsidP="00C04B9D">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La filiera formativa tecnologico-professionale è costituita:</w:t>
      </w:r>
    </w:p>
    <w:p w14:paraId="7A75145F" w14:textId="77777777" w:rsidR="00C04B9D" w:rsidRPr="00C04B9D" w:rsidRDefault="00C04B9D" w:rsidP="00C04B9D">
      <w:pPr>
        <w:numPr>
          <w:ilvl w:val="0"/>
          <w:numId w:val="5"/>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dai </w:t>
      </w:r>
      <w:r w:rsidRPr="00C04B9D">
        <w:rPr>
          <w:rFonts w:ascii="Arial" w:eastAsia="Times New Roman" w:hAnsi="Arial" w:cs="Arial"/>
          <w:b/>
          <w:bCs/>
          <w:color w:val="000000"/>
          <w:kern w:val="0"/>
          <w:sz w:val="21"/>
          <w:szCs w:val="21"/>
          <w:lang w:eastAsia="it-IT"/>
          <w14:ligatures w14:val="none"/>
        </w:rPr>
        <w:t>percorsi sperimentali quadriennali</w:t>
      </w:r>
      <w:r w:rsidRPr="00C04B9D">
        <w:rPr>
          <w:rFonts w:ascii="Arial" w:eastAsia="Times New Roman" w:hAnsi="Arial" w:cs="Arial"/>
          <w:color w:val="000000"/>
          <w:kern w:val="0"/>
          <w:sz w:val="21"/>
          <w:szCs w:val="21"/>
          <w:lang w:eastAsia="it-IT"/>
          <w14:ligatures w14:val="none"/>
        </w:rPr>
        <w:t> del secondo ciclo di istruzione</w:t>
      </w:r>
    </w:p>
    <w:p w14:paraId="789B69C8" w14:textId="77777777" w:rsidR="00C04B9D" w:rsidRPr="00C04B9D" w:rsidRDefault="00C04B9D" w:rsidP="00C04B9D">
      <w:pPr>
        <w:numPr>
          <w:ilvl w:val="0"/>
          <w:numId w:val="5"/>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dai </w:t>
      </w:r>
      <w:r w:rsidRPr="00C04B9D">
        <w:rPr>
          <w:rFonts w:ascii="Arial" w:eastAsia="Times New Roman" w:hAnsi="Arial" w:cs="Arial"/>
          <w:b/>
          <w:bCs/>
          <w:color w:val="000000"/>
          <w:kern w:val="0"/>
          <w:sz w:val="21"/>
          <w:szCs w:val="21"/>
          <w:lang w:eastAsia="it-IT"/>
          <w14:ligatures w14:val="none"/>
        </w:rPr>
        <w:t>percorsi di istruzione e formazione professionale</w:t>
      </w:r>
      <w:r w:rsidRPr="00C04B9D">
        <w:rPr>
          <w:rFonts w:ascii="Arial" w:eastAsia="Times New Roman" w:hAnsi="Arial" w:cs="Arial"/>
          <w:color w:val="000000"/>
          <w:kern w:val="0"/>
          <w:sz w:val="21"/>
          <w:szCs w:val="21"/>
          <w:lang w:eastAsia="it-IT"/>
          <w14:ligatures w14:val="none"/>
        </w:rPr>
        <w:t> - </w:t>
      </w:r>
      <w:proofErr w:type="spellStart"/>
      <w:r w:rsidRPr="00C04B9D">
        <w:rPr>
          <w:rFonts w:ascii="Arial" w:eastAsia="Times New Roman" w:hAnsi="Arial" w:cs="Arial"/>
          <w:b/>
          <w:bCs/>
          <w:color w:val="000000"/>
          <w:kern w:val="0"/>
          <w:sz w:val="21"/>
          <w:szCs w:val="21"/>
          <w:lang w:eastAsia="it-IT"/>
          <w14:ligatures w14:val="none"/>
        </w:rPr>
        <w:t>IeFP</w:t>
      </w:r>
      <w:proofErr w:type="spellEnd"/>
      <w:r w:rsidRPr="00C04B9D">
        <w:rPr>
          <w:rFonts w:ascii="Arial" w:eastAsia="Times New Roman" w:hAnsi="Arial" w:cs="Arial"/>
          <w:b/>
          <w:bCs/>
          <w:color w:val="000000"/>
          <w:kern w:val="0"/>
          <w:sz w:val="21"/>
          <w:szCs w:val="21"/>
          <w:lang w:eastAsia="it-IT"/>
          <w14:ligatures w14:val="none"/>
        </w:rPr>
        <w:t> </w:t>
      </w:r>
      <w:r w:rsidRPr="00C04B9D">
        <w:rPr>
          <w:rFonts w:ascii="Arial" w:eastAsia="Times New Roman" w:hAnsi="Arial" w:cs="Arial"/>
          <w:color w:val="000000"/>
          <w:kern w:val="0"/>
          <w:sz w:val="21"/>
          <w:szCs w:val="21"/>
          <w:lang w:eastAsia="it-IT"/>
          <w14:ligatures w14:val="none"/>
        </w:rPr>
        <w:t>(</w:t>
      </w:r>
      <w:proofErr w:type="spellStart"/>
      <w:r w:rsidRPr="00C04B9D">
        <w:rPr>
          <w:rFonts w:ascii="Arial" w:eastAsia="Times New Roman" w:hAnsi="Arial" w:cs="Arial"/>
          <w:color w:val="000000"/>
          <w:kern w:val="0"/>
          <w:sz w:val="21"/>
          <w:szCs w:val="21"/>
          <w:lang w:eastAsia="it-IT"/>
          <w14:ligatures w14:val="none"/>
        </w:rPr>
        <w:t>DLgs</w:t>
      </w:r>
      <w:proofErr w:type="spellEnd"/>
      <w:r w:rsidRPr="00C04B9D">
        <w:rPr>
          <w:rFonts w:ascii="Arial" w:eastAsia="Times New Roman" w:hAnsi="Arial" w:cs="Arial"/>
          <w:color w:val="000000"/>
          <w:kern w:val="0"/>
          <w:sz w:val="21"/>
          <w:szCs w:val="21"/>
          <w:lang w:eastAsia="it-IT"/>
          <w14:ligatures w14:val="none"/>
        </w:rPr>
        <w:t>. n. 226 del 2005)</w:t>
      </w:r>
    </w:p>
    <w:p w14:paraId="7D3625CC" w14:textId="77777777" w:rsidR="00C04B9D" w:rsidRPr="00C04B9D" w:rsidRDefault="00C04B9D" w:rsidP="00C04B9D">
      <w:pPr>
        <w:numPr>
          <w:ilvl w:val="0"/>
          <w:numId w:val="5"/>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dai percorsi formativi degli istituti tecnologici superiori - </w:t>
      </w:r>
      <w:r w:rsidRPr="00C04B9D">
        <w:rPr>
          <w:rFonts w:ascii="Arial" w:eastAsia="Times New Roman" w:hAnsi="Arial" w:cs="Arial"/>
          <w:b/>
          <w:bCs/>
          <w:color w:val="000000"/>
          <w:kern w:val="0"/>
          <w:sz w:val="21"/>
          <w:szCs w:val="21"/>
          <w:lang w:eastAsia="it-IT"/>
          <w14:ligatures w14:val="none"/>
        </w:rPr>
        <w:t>ITS Academy</w:t>
      </w:r>
      <w:r w:rsidRPr="00C04B9D">
        <w:rPr>
          <w:rFonts w:ascii="Arial" w:eastAsia="Times New Roman" w:hAnsi="Arial" w:cs="Arial"/>
          <w:color w:val="000000"/>
          <w:kern w:val="0"/>
          <w:sz w:val="21"/>
          <w:szCs w:val="21"/>
          <w:lang w:eastAsia="it-IT"/>
          <w14:ligatures w14:val="none"/>
        </w:rPr>
        <w:t> (</w:t>
      </w:r>
      <w:hyperlink r:id="rId10" w:tgtFrame="_blank" w:history="1">
        <w:r w:rsidRPr="00C04B9D">
          <w:rPr>
            <w:rFonts w:ascii="Arial" w:eastAsia="Times New Roman" w:hAnsi="Arial" w:cs="Arial"/>
            <w:color w:val="005EB3"/>
            <w:kern w:val="0"/>
            <w:sz w:val="21"/>
            <w:szCs w:val="21"/>
            <w:lang w:eastAsia="it-IT"/>
            <w14:ligatures w14:val="none"/>
          </w:rPr>
          <w:t>L. n. 99 del 2022</w:t>
        </w:r>
      </w:hyperlink>
      <w:r w:rsidRPr="00C04B9D">
        <w:rPr>
          <w:rFonts w:ascii="Arial" w:eastAsia="Times New Roman" w:hAnsi="Arial" w:cs="Arial"/>
          <w:color w:val="000000"/>
          <w:kern w:val="0"/>
          <w:sz w:val="21"/>
          <w:szCs w:val="21"/>
          <w:lang w:eastAsia="it-IT"/>
          <w14:ligatures w14:val="none"/>
        </w:rPr>
        <w:t>)</w:t>
      </w:r>
    </w:p>
    <w:p w14:paraId="215504F6" w14:textId="77777777" w:rsidR="00C04B9D" w:rsidRPr="00C04B9D" w:rsidRDefault="00C04B9D" w:rsidP="00C04B9D">
      <w:pPr>
        <w:numPr>
          <w:ilvl w:val="0"/>
          <w:numId w:val="5"/>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dai percorsi di istruzione e formazione tecnica superiore </w:t>
      </w:r>
      <w:r w:rsidRPr="00C04B9D">
        <w:rPr>
          <w:rFonts w:ascii="Arial" w:eastAsia="Times New Roman" w:hAnsi="Arial" w:cs="Arial"/>
          <w:b/>
          <w:bCs/>
          <w:color w:val="000000"/>
          <w:kern w:val="0"/>
          <w:sz w:val="21"/>
          <w:szCs w:val="21"/>
          <w:lang w:eastAsia="it-IT"/>
          <w14:ligatures w14:val="none"/>
        </w:rPr>
        <w:t>- IFTS </w:t>
      </w:r>
      <w:r w:rsidRPr="00C04B9D">
        <w:rPr>
          <w:rFonts w:ascii="Arial" w:eastAsia="Times New Roman" w:hAnsi="Arial" w:cs="Arial"/>
          <w:color w:val="000000"/>
          <w:kern w:val="0"/>
          <w:sz w:val="21"/>
          <w:szCs w:val="21"/>
          <w:lang w:eastAsia="it-IT"/>
          <w14:ligatures w14:val="none"/>
        </w:rPr>
        <w:t>(</w:t>
      </w:r>
      <w:hyperlink r:id="rId11" w:tgtFrame="_blank" w:history="1">
        <w:r w:rsidRPr="00C04B9D">
          <w:rPr>
            <w:rFonts w:ascii="Arial" w:eastAsia="Times New Roman" w:hAnsi="Arial" w:cs="Arial"/>
            <w:color w:val="005EB3"/>
            <w:kern w:val="0"/>
            <w:sz w:val="21"/>
            <w:szCs w:val="21"/>
            <w:lang w:eastAsia="it-IT"/>
            <w14:ligatures w14:val="none"/>
          </w:rPr>
          <w:t>DPCM 25 gennaio 2008</w:t>
        </w:r>
      </w:hyperlink>
      <w:r w:rsidRPr="00C04B9D">
        <w:rPr>
          <w:rFonts w:ascii="Arial" w:eastAsia="Times New Roman" w:hAnsi="Arial" w:cs="Arial"/>
          <w:color w:val="000000"/>
          <w:kern w:val="0"/>
          <w:sz w:val="21"/>
          <w:szCs w:val="21"/>
          <w:lang w:eastAsia="it-IT"/>
          <w14:ligatures w14:val="none"/>
        </w:rPr>
        <w:t>)</w:t>
      </w:r>
    </w:p>
    <w:p w14:paraId="55AC22F7" w14:textId="77777777" w:rsidR="00C04B9D" w:rsidRPr="00C04B9D" w:rsidRDefault="00C04B9D" w:rsidP="00C04B9D">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La filiera è istituita a decorrere </w:t>
      </w:r>
      <w:r w:rsidRPr="00C04B9D">
        <w:rPr>
          <w:rFonts w:ascii="Arial" w:eastAsia="Times New Roman" w:hAnsi="Arial" w:cs="Arial"/>
          <w:b/>
          <w:bCs/>
          <w:color w:val="000000"/>
          <w:kern w:val="0"/>
          <w:sz w:val="23"/>
          <w:szCs w:val="23"/>
          <w:lang w:eastAsia="it-IT"/>
          <w14:ligatures w14:val="none"/>
        </w:rPr>
        <w:t>dall’anno scolastico e formativo 2024-2025</w:t>
      </w:r>
      <w:r w:rsidRPr="00C04B9D">
        <w:rPr>
          <w:rFonts w:ascii="Arial" w:eastAsia="Times New Roman" w:hAnsi="Arial" w:cs="Arial"/>
          <w:color w:val="000000"/>
          <w:kern w:val="0"/>
          <w:sz w:val="23"/>
          <w:szCs w:val="23"/>
          <w:lang w:eastAsia="it-IT"/>
          <w14:ligatures w14:val="none"/>
        </w:rPr>
        <w:t> con l’intento di rispondere alle esigenze del settore produttivo nazionale secondo gli obiettivi del piano nazionale Industria 4.0</w:t>
      </w:r>
    </w:p>
    <w:p w14:paraId="47C63027" w14:textId="77777777" w:rsidR="00C04B9D" w:rsidRPr="00C04B9D" w:rsidRDefault="00C04B9D" w:rsidP="00C04B9D">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Nell’ambito della filiera formativa tecnologico-professionale sono attivati </w:t>
      </w:r>
      <w:r w:rsidRPr="00C04B9D">
        <w:rPr>
          <w:rFonts w:ascii="Arial" w:eastAsia="Times New Roman" w:hAnsi="Arial" w:cs="Arial"/>
          <w:b/>
          <w:bCs/>
          <w:color w:val="000000"/>
          <w:kern w:val="0"/>
          <w:sz w:val="23"/>
          <w:szCs w:val="23"/>
          <w:lang w:eastAsia="it-IT"/>
          <w14:ligatures w14:val="none"/>
        </w:rPr>
        <w:t>percorsi quadriennali sperimentali di istruzione secondaria di secondo grado</w:t>
      </w:r>
      <w:r w:rsidRPr="00C04B9D">
        <w:rPr>
          <w:rFonts w:ascii="Arial" w:eastAsia="Times New Roman" w:hAnsi="Arial" w:cs="Arial"/>
          <w:color w:val="000000"/>
          <w:kern w:val="0"/>
          <w:sz w:val="23"/>
          <w:szCs w:val="23"/>
          <w:lang w:eastAsia="it-IT"/>
          <w14:ligatures w14:val="none"/>
        </w:rPr>
        <w:t> per il conseguimento delle competenze di cui al profilo educativo, culturale e professionale dei percorsi di istruzione secondaria di secondo grado previsto dall’indirizzo di studi quinquennale di riferimento.</w:t>
      </w:r>
    </w:p>
    <w:p w14:paraId="19321A84" w14:textId="77777777" w:rsidR="00C04B9D" w:rsidRPr="00C04B9D" w:rsidRDefault="00C04B9D" w:rsidP="00C04B9D">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Le studentesse e gli studenti che hanno conseguito il diploma professionale presso istituzioni formative regionali che hanno aderito alla filiera formativa tecnologico-professionale, al termine dei percorsi quadriennali di istruzione e formazione professionale </w:t>
      </w:r>
      <w:r w:rsidRPr="00C04B9D">
        <w:rPr>
          <w:rFonts w:ascii="Arial" w:eastAsia="Times New Roman" w:hAnsi="Arial" w:cs="Arial"/>
          <w:b/>
          <w:bCs/>
          <w:color w:val="000000"/>
          <w:kern w:val="0"/>
          <w:sz w:val="23"/>
          <w:szCs w:val="23"/>
          <w:lang w:eastAsia="it-IT"/>
          <w14:ligatures w14:val="none"/>
        </w:rPr>
        <w:t>validati in base agli esiti di rilevazioni degli apprendimenti predisposte da INVALSI possono:</w:t>
      </w:r>
    </w:p>
    <w:p w14:paraId="32300555" w14:textId="77777777" w:rsidR="00C04B9D" w:rsidRPr="00C04B9D" w:rsidRDefault="00C04B9D" w:rsidP="00C04B9D">
      <w:pPr>
        <w:numPr>
          <w:ilvl w:val="0"/>
          <w:numId w:val="7"/>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b/>
          <w:bCs/>
          <w:color w:val="000000"/>
          <w:kern w:val="0"/>
          <w:sz w:val="21"/>
          <w:szCs w:val="21"/>
          <w:lang w:eastAsia="it-IT"/>
          <w14:ligatures w14:val="none"/>
        </w:rPr>
        <w:t>accedere direttamente ai percorsi formativi degli ITS Academy</w:t>
      </w:r>
      <w:r w:rsidRPr="00C04B9D">
        <w:rPr>
          <w:rFonts w:ascii="Arial" w:eastAsia="Times New Roman" w:hAnsi="Arial" w:cs="Arial"/>
          <w:color w:val="000000"/>
          <w:kern w:val="0"/>
          <w:sz w:val="21"/>
          <w:szCs w:val="21"/>
          <w:lang w:eastAsia="it-IT"/>
          <w14:ligatures w14:val="none"/>
        </w:rPr>
        <w:t>, </w:t>
      </w:r>
      <w:r w:rsidRPr="00C04B9D">
        <w:rPr>
          <w:rFonts w:ascii="Arial" w:eastAsia="Times New Roman" w:hAnsi="Arial" w:cs="Arial"/>
          <w:b/>
          <w:bCs/>
          <w:color w:val="000000"/>
          <w:kern w:val="0"/>
          <w:sz w:val="21"/>
          <w:szCs w:val="21"/>
          <w:lang w:eastAsia="it-IT"/>
          <w14:ligatures w14:val="none"/>
        </w:rPr>
        <w:t>anche</w:t>
      </w:r>
      <w:r w:rsidRPr="00C04B9D">
        <w:rPr>
          <w:rFonts w:ascii="Arial" w:eastAsia="Times New Roman" w:hAnsi="Arial" w:cs="Arial"/>
          <w:color w:val="000000"/>
          <w:kern w:val="0"/>
          <w:sz w:val="21"/>
          <w:szCs w:val="21"/>
          <w:lang w:eastAsia="it-IT"/>
          <w14:ligatures w14:val="none"/>
        </w:rPr>
        <w:t> </w:t>
      </w:r>
      <w:r w:rsidRPr="00C04B9D">
        <w:rPr>
          <w:rFonts w:ascii="Arial" w:eastAsia="Times New Roman" w:hAnsi="Arial" w:cs="Arial"/>
          <w:b/>
          <w:bCs/>
          <w:color w:val="000000"/>
          <w:kern w:val="0"/>
          <w:sz w:val="21"/>
          <w:szCs w:val="21"/>
          <w:lang w:eastAsia="it-IT"/>
          <w14:ligatures w14:val="none"/>
        </w:rPr>
        <w:t>in assenza del previsto certificato</w:t>
      </w:r>
      <w:r w:rsidRPr="00C04B9D">
        <w:rPr>
          <w:rFonts w:ascii="Arial" w:eastAsia="Times New Roman" w:hAnsi="Arial" w:cs="Arial"/>
          <w:color w:val="000000"/>
          <w:kern w:val="0"/>
          <w:sz w:val="21"/>
          <w:szCs w:val="21"/>
          <w:lang w:eastAsia="it-IT"/>
          <w14:ligatures w14:val="none"/>
        </w:rPr>
        <w:t> di specializzazione tecnica superiore conseguito all’esito dei corsi di istruzione e formazione tecnica superiore (IFTS) della durata di almeno 800 ore</w:t>
      </w:r>
    </w:p>
    <w:p w14:paraId="77495D60" w14:textId="77777777" w:rsidR="00C04B9D" w:rsidRPr="00C04B9D" w:rsidRDefault="00C04B9D" w:rsidP="00C04B9D">
      <w:pPr>
        <w:numPr>
          <w:ilvl w:val="0"/>
          <w:numId w:val="7"/>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C04B9D">
        <w:rPr>
          <w:rFonts w:ascii="Arial" w:eastAsia="Times New Roman" w:hAnsi="Arial" w:cs="Arial"/>
          <w:b/>
          <w:bCs/>
          <w:color w:val="000000"/>
          <w:kern w:val="0"/>
          <w:sz w:val="21"/>
          <w:szCs w:val="21"/>
          <w:lang w:eastAsia="it-IT"/>
          <w14:ligatures w14:val="none"/>
        </w:rPr>
        <w:t>sostenere direttamente l’esame di Stato</w:t>
      </w:r>
      <w:r w:rsidRPr="00C04B9D">
        <w:rPr>
          <w:rFonts w:ascii="Arial" w:eastAsia="Times New Roman" w:hAnsi="Arial" w:cs="Arial"/>
          <w:color w:val="000000"/>
          <w:kern w:val="0"/>
          <w:sz w:val="21"/>
          <w:szCs w:val="21"/>
          <w:lang w:eastAsia="it-IT"/>
          <w14:ligatures w14:val="none"/>
        </w:rPr>
        <w:t> presso l’istituto professionale statale o paritario, assegnato dall’ufficio scolastico regionale territorialmente competente, </w:t>
      </w:r>
      <w:r w:rsidRPr="00C04B9D">
        <w:rPr>
          <w:rFonts w:ascii="Arial" w:eastAsia="Times New Roman" w:hAnsi="Arial" w:cs="Arial"/>
          <w:b/>
          <w:bCs/>
          <w:color w:val="000000"/>
          <w:kern w:val="0"/>
          <w:sz w:val="21"/>
          <w:szCs w:val="21"/>
          <w:lang w:eastAsia="it-IT"/>
          <w14:ligatures w14:val="none"/>
        </w:rPr>
        <w:t>in deroga al sostenimento dell’esame preliminare</w:t>
      </w:r>
    </w:p>
    <w:p w14:paraId="5490215D"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lastRenderedPageBreak/>
        <w:t>Le regioni, “possono” aderire alla filiera formativa tecnologico-professionale - in accordo con gli uffici scolastici regionali - assicurando la programmazione dei percorsi e definendone le modalità realizzative per integrare e ampliare l’offerta formativa dei percorsi sperimentali e dei percorsi di istruzione e formazione professionale (</w:t>
      </w:r>
      <w:proofErr w:type="spellStart"/>
      <w:r w:rsidRPr="00C04B9D">
        <w:rPr>
          <w:rFonts w:ascii="Arial" w:eastAsia="Times New Roman" w:hAnsi="Arial" w:cs="Arial"/>
          <w:color w:val="000000"/>
          <w:kern w:val="0"/>
          <w:sz w:val="23"/>
          <w:szCs w:val="23"/>
          <w:lang w:eastAsia="it-IT"/>
          <w14:ligatures w14:val="none"/>
        </w:rPr>
        <w:t>IeFP</w:t>
      </w:r>
      <w:proofErr w:type="spellEnd"/>
      <w:r w:rsidRPr="00C04B9D">
        <w:rPr>
          <w:rFonts w:ascii="Arial" w:eastAsia="Times New Roman" w:hAnsi="Arial" w:cs="Arial"/>
          <w:color w:val="000000"/>
          <w:kern w:val="0"/>
          <w:sz w:val="23"/>
          <w:szCs w:val="23"/>
          <w:lang w:eastAsia="it-IT"/>
          <w14:ligatures w14:val="none"/>
        </w:rPr>
        <w:t>) con la partecipazione degli ITS Academy, delle università, delle istituzioni dell’alta formazione artistica, musicale e coreutica e degli altri soggetti pubblici e privati e in funzione delle esigenze specifiche dei territori. </w:t>
      </w:r>
      <w:r w:rsidRPr="00C04B9D">
        <w:rPr>
          <w:rFonts w:ascii="Arial" w:eastAsia="Times New Roman" w:hAnsi="Arial" w:cs="Arial"/>
          <w:b/>
          <w:bCs/>
          <w:color w:val="000000"/>
          <w:kern w:val="0"/>
          <w:sz w:val="23"/>
          <w:szCs w:val="23"/>
          <w:lang w:eastAsia="it-IT"/>
          <w14:ligatures w14:val="none"/>
        </w:rPr>
        <w:t>I criteri di stipula degli accordi saranno oggetto di un successivo Decreto del Ministro dell’Istruzione</w:t>
      </w:r>
      <w:r w:rsidRPr="00C04B9D">
        <w:rPr>
          <w:rFonts w:ascii="Arial" w:eastAsia="Times New Roman" w:hAnsi="Arial" w:cs="Arial"/>
          <w:color w:val="000000"/>
          <w:kern w:val="0"/>
          <w:sz w:val="23"/>
          <w:szCs w:val="23"/>
          <w:lang w:eastAsia="it-IT"/>
          <w14:ligatures w14:val="none"/>
        </w:rPr>
        <w:t> (adottato entro 30 giorni dalla data di entrata in vigore del disegno di legge).</w:t>
      </w:r>
    </w:p>
    <w:p w14:paraId="385CBF6F"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Tali accordi, inoltre, possono prevedere </w:t>
      </w:r>
      <w:r w:rsidRPr="00C04B9D">
        <w:rPr>
          <w:rFonts w:ascii="Arial" w:eastAsia="Times New Roman" w:hAnsi="Arial" w:cs="Arial"/>
          <w:b/>
          <w:bCs/>
          <w:color w:val="000000"/>
          <w:kern w:val="0"/>
          <w:sz w:val="23"/>
          <w:szCs w:val="23"/>
          <w:lang w:eastAsia="it-IT"/>
          <w14:ligatures w14:val="none"/>
        </w:rPr>
        <w:t>l’istituzione di reti denominate “campus”</w:t>
      </w:r>
      <w:r w:rsidRPr="00C04B9D">
        <w:rPr>
          <w:rFonts w:ascii="Arial" w:eastAsia="Times New Roman" w:hAnsi="Arial" w:cs="Arial"/>
          <w:color w:val="000000"/>
          <w:kern w:val="0"/>
          <w:sz w:val="23"/>
          <w:szCs w:val="23"/>
          <w:lang w:eastAsia="it-IT"/>
          <w14:ligatures w14:val="none"/>
        </w:rPr>
        <w:t> (eventualmente afferenti ai poli tecnico-professionali, ove esistenti), che dovranno definire anche le modalità di </w:t>
      </w:r>
      <w:r w:rsidRPr="00C04B9D">
        <w:rPr>
          <w:rFonts w:ascii="Arial" w:eastAsia="Times New Roman" w:hAnsi="Arial" w:cs="Arial"/>
          <w:b/>
          <w:bCs/>
          <w:color w:val="000000"/>
          <w:kern w:val="0"/>
          <w:sz w:val="23"/>
          <w:szCs w:val="23"/>
          <w:lang w:eastAsia="it-IT"/>
          <w14:ligatures w14:val="none"/>
        </w:rPr>
        <w:t>integrazione dell’offerta formativa</w:t>
      </w:r>
      <w:r w:rsidRPr="00C04B9D">
        <w:rPr>
          <w:rFonts w:ascii="Arial" w:eastAsia="Times New Roman" w:hAnsi="Arial" w:cs="Arial"/>
          <w:color w:val="000000"/>
          <w:kern w:val="0"/>
          <w:sz w:val="23"/>
          <w:szCs w:val="23"/>
          <w:lang w:eastAsia="it-IT"/>
          <w14:ligatures w14:val="none"/>
        </w:rPr>
        <w:t>, erogata dai campus stessi, anche in raccordo con i campus multiregionali e multisettoriali. Per favorire l’integrazione, anche infrastrutturale, dei soggetti che vi aderiscono, è istituito, a tal fine, il “</w:t>
      </w:r>
      <w:r w:rsidRPr="00C04B9D">
        <w:rPr>
          <w:rFonts w:ascii="Arial" w:eastAsia="Times New Roman" w:hAnsi="Arial" w:cs="Arial"/>
          <w:b/>
          <w:bCs/>
          <w:color w:val="000000"/>
          <w:kern w:val="0"/>
          <w:sz w:val="23"/>
          <w:szCs w:val="23"/>
          <w:lang w:eastAsia="it-IT"/>
          <w14:ligatures w14:val="none"/>
        </w:rPr>
        <w:t>Fondo per la promozione dei campus</w:t>
      </w:r>
      <w:r w:rsidRPr="00C04B9D">
        <w:rPr>
          <w:rFonts w:ascii="Arial" w:eastAsia="Times New Roman" w:hAnsi="Arial" w:cs="Arial"/>
          <w:color w:val="000000"/>
          <w:kern w:val="0"/>
          <w:sz w:val="23"/>
          <w:szCs w:val="23"/>
          <w:lang w:eastAsia="it-IT"/>
          <w14:ligatures w14:val="none"/>
        </w:rPr>
        <w:t> </w:t>
      </w:r>
      <w:r w:rsidRPr="00C04B9D">
        <w:rPr>
          <w:rFonts w:ascii="Arial" w:eastAsia="Times New Roman" w:hAnsi="Arial" w:cs="Arial"/>
          <w:b/>
          <w:bCs/>
          <w:color w:val="000000"/>
          <w:kern w:val="0"/>
          <w:sz w:val="23"/>
          <w:szCs w:val="23"/>
          <w:lang w:eastAsia="it-IT"/>
          <w14:ligatures w14:val="none"/>
        </w:rPr>
        <w:t>della filiera formativa tecnologico-professionale”</w:t>
      </w:r>
      <w:r w:rsidRPr="00C04B9D">
        <w:rPr>
          <w:rFonts w:ascii="Arial" w:eastAsia="Times New Roman" w:hAnsi="Arial" w:cs="Arial"/>
          <w:color w:val="000000"/>
          <w:kern w:val="0"/>
          <w:sz w:val="23"/>
          <w:szCs w:val="23"/>
          <w:lang w:eastAsia="it-IT"/>
          <w14:ligatures w14:val="none"/>
        </w:rPr>
        <w:t> per la progettazione di fattibilità tecnico-economica volta alla realizzazione degli interventi infrastrutturali, con una dotazione di 10 milioni di euro per l’anno 2024 e di 5 milioni di euro per ciascuno degli anni 2025 e 2026.</w:t>
      </w:r>
    </w:p>
    <w:p w14:paraId="5928C636"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È prevista la stipula di </w:t>
      </w:r>
      <w:r w:rsidRPr="00C04B9D">
        <w:rPr>
          <w:rFonts w:ascii="Arial" w:eastAsia="Times New Roman" w:hAnsi="Arial" w:cs="Arial"/>
          <w:b/>
          <w:bCs/>
          <w:color w:val="000000"/>
          <w:kern w:val="0"/>
          <w:sz w:val="23"/>
          <w:szCs w:val="23"/>
          <w:lang w:eastAsia="it-IT"/>
          <w14:ligatures w14:val="none"/>
        </w:rPr>
        <w:t>contratti di prestazione d’opera con soggetti del sistema delle imprese e delle professioni</w:t>
      </w:r>
      <w:r w:rsidRPr="00C04B9D">
        <w:rPr>
          <w:rFonts w:ascii="Arial" w:eastAsia="Times New Roman" w:hAnsi="Arial" w:cs="Arial"/>
          <w:color w:val="000000"/>
          <w:kern w:val="0"/>
          <w:sz w:val="23"/>
          <w:szCs w:val="23"/>
          <w:lang w:eastAsia="it-IT"/>
          <w14:ligatures w14:val="none"/>
        </w:rPr>
        <w:t> </w:t>
      </w:r>
      <w:r w:rsidRPr="00C04B9D">
        <w:rPr>
          <w:rFonts w:ascii="Arial" w:eastAsia="Times New Roman" w:hAnsi="Arial" w:cs="Arial"/>
          <w:b/>
          <w:bCs/>
          <w:color w:val="000000"/>
          <w:kern w:val="0"/>
          <w:sz w:val="23"/>
          <w:szCs w:val="23"/>
          <w:lang w:eastAsia="it-IT"/>
          <w14:ligatures w14:val="none"/>
        </w:rPr>
        <w:t>per attività di</w:t>
      </w:r>
      <w:r w:rsidRPr="00C04B9D">
        <w:rPr>
          <w:rFonts w:ascii="Arial" w:eastAsia="Times New Roman" w:hAnsi="Arial" w:cs="Arial"/>
          <w:color w:val="000000"/>
          <w:kern w:val="0"/>
          <w:sz w:val="23"/>
          <w:szCs w:val="23"/>
          <w:lang w:eastAsia="it-IT"/>
          <w14:ligatures w14:val="none"/>
        </w:rPr>
        <w:t> </w:t>
      </w:r>
      <w:r w:rsidRPr="00C04B9D">
        <w:rPr>
          <w:rFonts w:ascii="Arial" w:eastAsia="Times New Roman" w:hAnsi="Arial" w:cs="Arial"/>
          <w:b/>
          <w:bCs/>
          <w:color w:val="000000"/>
          <w:kern w:val="0"/>
          <w:sz w:val="23"/>
          <w:szCs w:val="23"/>
          <w:lang w:eastAsia="it-IT"/>
          <w14:ligatures w14:val="none"/>
        </w:rPr>
        <w:t>insegnamento e di formazione, nonché di “addestramento”</w:t>
      </w:r>
      <w:r w:rsidRPr="00C04B9D">
        <w:rPr>
          <w:rFonts w:ascii="Arial" w:eastAsia="Times New Roman" w:hAnsi="Arial" w:cs="Arial"/>
          <w:color w:val="000000"/>
          <w:kern w:val="0"/>
          <w:sz w:val="23"/>
          <w:szCs w:val="23"/>
          <w:lang w:eastAsia="it-IT"/>
          <w14:ligatures w14:val="none"/>
        </w:rPr>
        <w:t> nell’ambito delle attività laboratoriali e dei percorsi per le competenze trasversali e per l’orientamento (PCTO).</w:t>
      </w:r>
    </w:p>
    <w:p w14:paraId="0C48EB00"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Saranno promossi </w:t>
      </w:r>
      <w:r w:rsidRPr="00C04B9D">
        <w:rPr>
          <w:rFonts w:ascii="Arial" w:eastAsia="Times New Roman" w:hAnsi="Arial" w:cs="Arial"/>
          <w:b/>
          <w:bCs/>
          <w:color w:val="000000"/>
          <w:kern w:val="0"/>
          <w:sz w:val="23"/>
          <w:szCs w:val="23"/>
          <w:lang w:eastAsia="it-IT"/>
          <w14:ligatures w14:val="none"/>
        </w:rPr>
        <w:t>accordi di partenariato volti a definire le modalità di coprogettazione per la realizzazione dell’offerta formativa</w:t>
      </w:r>
      <w:r w:rsidRPr="00C04B9D">
        <w:rPr>
          <w:rFonts w:ascii="Arial" w:eastAsia="Times New Roman" w:hAnsi="Arial" w:cs="Arial"/>
          <w:color w:val="000000"/>
          <w:kern w:val="0"/>
          <w:sz w:val="23"/>
          <w:szCs w:val="23"/>
          <w:lang w:eastAsia="it-IT"/>
          <w14:ligatures w14:val="none"/>
        </w:rPr>
        <w:t>, di attuazione dei PCTO e di stipula dei contratti di apprendistato.</w:t>
      </w:r>
    </w:p>
    <w:p w14:paraId="646C0942"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All’attuazione delle disposizioni del provvedimento in questione, si provvede senza nuovi o maggiori oneri, ma </w:t>
      </w:r>
      <w:r w:rsidRPr="00C04B9D">
        <w:rPr>
          <w:rFonts w:ascii="Arial" w:eastAsia="Times New Roman" w:hAnsi="Arial" w:cs="Arial"/>
          <w:b/>
          <w:bCs/>
          <w:color w:val="000000"/>
          <w:kern w:val="0"/>
          <w:sz w:val="23"/>
          <w:szCs w:val="23"/>
          <w:lang w:eastAsia="it-IT"/>
          <w14:ligatures w14:val="none"/>
        </w:rPr>
        <w:t>ferma restando la possibilità di finanziamenti da parte di soggetti pubblici e privati</w:t>
      </w:r>
    </w:p>
    <w:p w14:paraId="1FAC13E7"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È istituita, presso il Ministero dell’Istruzione e del merito, una struttura tecnica di livello dirigenziale generale, denominata </w:t>
      </w:r>
      <w:r w:rsidRPr="00C04B9D">
        <w:rPr>
          <w:rFonts w:ascii="Arial" w:eastAsia="Times New Roman" w:hAnsi="Arial" w:cs="Arial"/>
          <w:b/>
          <w:bCs/>
          <w:color w:val="000000"/>
          <w:kern w:val="0"/>
          <w:sz w:val="23"/>
          <w:szCs w:val="23"/>
          <w:lang w:eastAsia="it-IT"/>
          <w14:ligatures w14:val="none"/>
        </w:rPr>
        <w:t>“Struttura tecnica per la promozione della filiera formativa tecnologico-professionale”</w:t>
      </w:r>
      <w:r w:rsidRPr="00C04B9D">
        <w:rPr>
          <w:rFonts w:ascii="Arial" w:eastAsia="Times New Roman" w:hAnsi="Arial" w:cs="Arial"/>
          <w:color w:val="000000"/>
          <w:kern w:val="0"/>
          <w:sz w:val="23"/>
          <w:szCs w:val="23"/>
          <w:lang w:eastAsia="it-IT"/>
          <w14:ligatures w14:val="none"/>
        </w:rPr>
        <w:t>, per la promozione della filiera formativa tecnologico -professionale.</w:t>
      </w:r>
    </w:p>
    <w:p w14:paraId="2784401D" w14:textId="77777777" w:rsidR="00C04B9D" w:rsidRPr="00C04B9D" w:rsidRDefault="00C04B9D" w:rsidP="00C04B9D">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È istituito, con successivo decreto del Ministro dell’Istruzione e del merito da adottare entro 90 giorni dalla data di entrata in vigore del disegno di legge, il </w:t>
      </w:r>
      <w:r w:rsidRPr="00C04B9D">
        <w:rPr>
          <w:rFonts w:ascii="Arial" w:eastAsia="Times New Roman" w:hAnsi="Arial" w:cs="Arial"/>
          <w:b/>
          <w:bCs/>
          <w:color w:val="000000"/>
          <w:kern w:val="0"/>
          <w:sz w:val="23"/>
          <w:szCs w:val="23"/>
          <w:lang w:eastAsia="it-IT"/>
          <w14:ligatures w14:val="none"/>
        </w:rPr>
        <w:t>Comitato di monitoraggio nazionale per la filiera formativa tecnologico-professionale. </w:t>
      </w:r>
      <w:r w:rsidRPr="00C04B9D">
        <w:rPr>
          <w:rFonts w:ascii="Arial" w:eastAsia="Times New Roman" w:hAnsi="Arial" w:cs="Arial"/>
          <w:color w:val="000000"/>
          <w:kern w:val="0"/>
          <w:sz w:val="23"/>
          <w:szCs w:val="23"/>
          <w:lang w:eastAsia="it-IT"/>
          <w14:ligatures w14:val="none"/>
        </w:rPr>
        <w:t>Il Comitato, presieduto dal coordinatore della struttura tecnica, è composto da rappresentanti del Ministero dell’Istruzione e del merito, delle regioni, delle organizzazioni datoriali e sindacali maggiormente rappresentative, dell’INVALSI e dell’INDIRE.</w:t>
      </w:r>
    </w:p>
    <w:p w14:paraId="179C5F0C"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Secondo la FLC CGIL l’istituzione della filiera formativa tecnologico-professionale apre le porte alla </w:t>
      </w:r>
      <w:hyperlink r:id="rId12" w:tgtFrame="_blank" w:history="1">
        <w:r w:rsidRPr="00C04B9D">
          <w:rPr>
            <w:rFonts w:ascii="Arial" w:eastAsia="Times New Roman" w:hAnsi="Arial" w:cs="Arial"/>
            <w:b/>
            <w:bCs/>
            <w:color w:val="005EB3"/>
            <w:kern w:val="0"/>
            <w:sz w:val="21"/>
            <w:szCs w:val="21"/>
            <w:lang w:eastAsia="it-IT"/>
            <w14:ligatures w14:val="none"/>
          </w:rPr>
          <w:t>regionalizzazione </w:t>
        </w:r>
        <w:r w:rsidRPr="00C04B9D">
          <w:rPr>
            <w:rFonts w:ascii="Arial" w:eastAsia="Times New Roman" w:hAnsi="Arial" w:cs="Arial"/>
            <w:color w:val="005EB3"/>
            <w:kern w:val="0"/>
            <w:sz w:val="21"/>
            <w:szCs w:val="21"/>
            <w:lang w:eastAsia="it-IT"/>
            <w14:ligatures w14:val="none"/>
          </w:rPr>
          <w:t>del sistema pubblico di istruzione,</w:t>
        </w:r>
      </w:hyperlink>
      <w:r w:rsidRPr="00C04B9D">
        <w:rPr>
          <w:rFonts w:ascii="Arial" w:eastAsia="Times New Roman" w:hAnsi="Arial" w:cs="Arial"/>
          <w:color w:val="000000"/>
          <w:kern w:val="0"/>
          <w:sz w:val="21"/>
          <w:szCs w:val="21"/>
          <w:lang w:eastAsia="it-IT"/>
          <w14:ligatures w14:val="none"/>
        </w:rPr>
        <w:t> all’</w:t>
      </w:r>
      <w:r w:rsidRPr="00C04B9D">
        <w:rPr>
          <w:rFonts w:ascii="Arial" w:eastAsia="Times New Roman" w:hAnsi="Arial" w:cs="Arial"/>
          <w:b/>
          <w:bCs/>
          <w:color w:val="000000"/>
          <w:kern w:val="0"/>
          <w:sz w:val="21"/>
          <w:szCs w:val="21"/>
          <w:lang w:eastAsia="it-IT"/>
          <w14:ligatures w14:val="none"/>
        </w:rPr>
        <w:t>inserimento dei privati anche nella programmazione</w:t>
      </w:r>
      <w:r w:rsidRPr="00C04B9D">
        <w:rPr>
          <w:rFonts w:ascii="Arial" w:eastAsia="Times New Roman" w:hAnsi="Arial" w:cs="Arial"/>
          <w:color w:val="000000"/>
          <w:kern w:val="0"/>
          <w:sz w:val="21"/>
          <w:szCs w:val="21"/>
          <w:lang w:eastAsia="it-IT"/>
          <w14:ligatures w14:val="none"/>
        </w:rPr>
        <w:t> dell’offerta formativa e, con l’attivazione di percorsi quadriennali, crea una </w:t>
      </w:r>
      <w:r w:rsidRPr="00C04B9D">
        <w:rPr>
          <w:rFonts w:ascii="Arial" w:eastAsia="Times New Roman" w:hAnsi="Arial" w:cs="Arial"/>
          <w:b/>
          <w:bCs/>
          <w:color w:val="000000"/>
          <w:kern w:val="0"/>
          <w:sz w:val="21"/>
          <w:szCs w:val="21"/>
          <w:lang w:eastAsia="it-IT"/>
          <w14:ligatures w14:val="none"/>
        </w:rPr>
        <w:t>formazione di ridotta qualità</w:t>
      </w:r>
      <w:r w:rsidRPr="00C04B9D">
        <w:rPr>
          <w:rFonts w:ascii="Arial" w:eastAsia="Times New Roman" w:hAnsi="Arial" w:cs="Arial"/>
          <w:color w:val="000000"/>
          <w:kern w:val="0"/>
          <w:sz w:val="21"/>
          <w:szCs w:val="21"/>
          <w:lang w:eastAsia="it-IT"/>
          <w14:ligatures w14:val="none"/>
        </w:rPr>
        <w:t> (meno ore di didattica generale e più ore di PCTO e apprendistato anticipati a quindici anni) con il rischio serio che si crei una </w:t>
      </w:r>
      <w:r w:rsidRPr="00C04B9D">
        <w:rPr>
          <w:rFonts w:ascii="Arial" w:eastAsia="Times New Roman" w:hAnsi="Arial" w:cs="Arial"/>
          <w:b/>
          <w:bCs/>
          <w:color w:val="000000"/>
          <w:kern w:val="0"/>
          <w:sz w:val="21"/>
          <w:szCs w:val="21"/>
          <w:lang w:eastAsia="it-IT"/>
          <w14:ligatures w14:val="none"/>
        </w:rPr>
        <w:t>confusione di ruoli e responsabilità tra scuole autonome e Regioni </w:t>
      </w:r>
      <w:r w:rsidRPr="00C04B9D">
        <w:rPr>
          <w:rFonts w:ascii="Arial" w:eastAsia="Times New Roman" w:hAnsi="Arial" w:cs="Arial"/>
          <w:color w:val="000000"/>
          <w:kern w:val="0"/>
          <w:sz w:val="21"/>
          <w:szCs w:val="21"/>
          <w:lang w:eastAsia="it-IT"/>
          <w14:ligatures w14:val="none"/>
        </w:rPr>
        <w:t>sulla responsabilità della programmazione dell’offerta formativa della filiera - che ricade sulla Regione svilendo l’autonomia scolastica - e della valutazione degli apprendimenti, sul funzionamento degli organi collegiali e del loro coordinamento con le altre istituzioni (pubbliche e private) coinvolte.</w:t>
      </w:r>
    </w:p>
    <w:p w14:paraId="64F6FFE9"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b/>
          <w:bCs/>
          <w:color w:val="000000"/>
          <w:kern w:val="0"/>
          <w:sz w:val="21"/>
          <w:szCs w:val="21"/>
          <w:lang w:eastAsia="it-IT"/>
          <w14:ligatures w14:val="none"/>
        </w:rPr>
        <w:t>Si continua, inoltre, ad alimentare un’idea ridotta e riduttiva dell’istruzione come funzionale al mercato e all’impresa, </w:t>
      </w:r>
      <w:r w:rsidRPr="00C04B9D">
        <w:rPr>
          <w:rFonts w:ascii="Arial" w:eastAsia="Times New Roman" w:hAnsi="Arial" w:cs="Arial"/>
          <w:color w:val="000000"/>
          <w:kern w:val="0"/>
          <w:sz w:val="21"/>
          <w:szCs w:val="21"/>
          <w:lang w:eastAsia="it-IT"/>
          <w14:ligatures w14:val="none"/>
        </w:rPr>
        <w:t xml:space="preserve">coltivando un’idea neoliberista di cittadini/persone come “risorse umane”, </w:t>
      </w:r>
      <w:r w:rsidRPr="00C04B9D">
        <w:rPr>
          <w:rFonts w:ascii="Arial" w:eastAsia="Times New Roman" w:hAnsi="Arial" w:cs="Arial"/>
          <w:color w:val="000000"/>
          <w:kern w:val="0"/>
          <w:sz w:val="21"/>
          <w:szCs w:val="21"/>
          <w:lang w:eastAsia="it-IT"/>
          <w14:ligatures w14:val="none"/>
        </w:rPr>
        <w:lastRenderedPageBreak/>
        <w:t>semplici ingranaggi del complesso meccanismo finanziario globale: insomma una visione di studentesse e studenti come soggetti indirizzati verso le esigenze del mercato, essi stessi prodotto di una “filiera”.</w:t>
      </w:r>
    </w:p>
    <w:p w14:paraId="2B369C88" w14:textId="53E0D4B5"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b/>
          <w:bCs/>
          <w:color w:val="000000"/>
          <w:kern w:val="0"/>
          <w:sz w:val="21"/>
          <w:szCs w:val="21"/>
          <w:lang w:eastAsia="it-IT"/>
          <w14:ligatures w14:val="none"/>
        </w:rPr>
        <w:t>Dopo il </w:t>
      </w:r>
      <w:hyperlink r:id="rId13" w:tgtFrame="_blank" w:history="1">
        <w:r w:rsidRPr="00C04B9D">
          <w:rPr>
            <w:rFonts w:ascii="Arial" w:eastAsia="Times New Roman" w:hAnsi="Arial" w:cs="Arial"/>
            <w:b/>
            <w:bCs/>
            <w:color w:val="005EB3"/>
            <w:kern w:val="0"/>
            <w:sz w:val="21"/>
            <w:szCs w:val="21"/>
            <w:lang w:eastAsia="it-IT"/>
            <w14:ligatures w14:val="none"/>
          </w:rPr>
          <w:t>fallimento</w:t>
        </w:r>
      </w:hyperlink>
      <w:r w:rsidRPr="00C04B9D">
        <w:rPr>
          <w:rFonts w:ascii="Arial" w:eastAsia="Times New Roman" w:hAnsi="Arial" w:cs="Arial"/>
          <w:b/>
          <w:bCs/>
          <w:color w:val="000000"/>
          <w:kern w:val="0"/>
          <w:sz w:val="21"/>
          <w:szCs w:val="21"/>
          <w:lang w:eastAsia="it-IT"/>
          <w14:ligatures w14:val="none"/>
        </w:rPr>
        <w:t xml:space="preserve"> della sperimentazione della filiera nelle iscrizioni per </w:t>
      </w:r>
      <w:proofErr w:type="spellStart"/>
      <w:r w:rsidRPr="00C04B9D">
        <w:rPr>
          <w:rFonts w:ascii="Arial" w:eastAsia="Times New Roman" w:hAnsi="Arial" w:cs="Arial"/>
          <w:b/>
          <w:bCs/>
          <w:color w:val="000000"/>
          <w:kern w:val="0"/>
          <w:sz w:val="21"/>
          <w:szCs w:val="21"/>
          <w:lang w:eastAsia="it-IT"/>
          <w14:ligatures w14:val="none"/>
        </w:rPr>
        <w:t>l’a.s.</w:t>
      </w:r>
      <w:proofErr w:type="spellEnd"/>
      <w:r w:rsidRPr="00C04B9D">
        <w:rPr>
          <w:rFonts w:ascii="Arial" w:eastAsia="Times New Roman" w:hAnsi="Arial" w:cs="Arial"/>
          <w:b/>
          <w:bCs/>
          <w:color w:val="000000"/>
          <w:kern w:val="0"/>
          <w:sz w:val="21"/>
          <w:szCs w:val="21"/>
          <w:lang w:eastAsia="it-IT"/>
          <w14:ligatures w14:val="none"/>
        </w:rPr>
        <w:t xml:space="preserve"> 2024/2025</w:t>
      </w:r>
      <w:r w:rsidRPr="00C04B9D">
        <w:rPr>
          <w:rFonts w:ascii="Arial" w:eastAsia="Times New Roman" w:hAnsi="Arial" w:cs="Arial"/>
          <w:color w:val="000000"/>
          <w:kern w:val="0"/>
          <w:sz w:val="21"/>
          <w:szCs w:val="21"/>
          <w:lang w:eastAsia="it-IT"/>
          <w14:ligatures w14:val="none"/>
        </w:rPr>
        <w:t> per le bocciature espresse dalla stragrande maggioranza delle scuole</w:t>
      </w:r>
      <w:r w:rsidRPr="00C04B9D">
        <w:rPr>
          <w:rFonts w:ascii="Arial" w:eastAsia="Times New Roman" w:hAnsi="Arial" w:cs="Arial"/>
          <w:b/>
          <w:bCs/>
          <w:color w:val="000000"/>
          <w:kern w:val="0"/>
          <w:sz w:val="21"/>
          <w:szCs w:val="21"/>
          <w:lang w:eastAsia="it-IT"/>
          <w14:ligatures w14:val="none"/>
        </w:rPr>
        <w:t>, è necessario che i collegi dei docenti e i consigli di istituto, </w:t>
      </w:r>
      <w:r w:rsidRPr="00C04B9D">
        <w:rPr>
          <w:rFonts w:ascii="Arial" w:eastAsia="Times New Roman" w:hAnsi="Arial" w:cs="Arial"/>
          <w:color w:val="000000"/>
          <w:kern w:val="0"/>
          <w:sz w:val="21"/>
          <w:szCs w:val="21"/>
          <w:lang w:eastAsia="it-IT"/>
          <w14:ligatures w14:val="none"/>
        </w:rPr>
        <w:t>con lucidità e consapevolezza del proprio ruolo, </w:t>
      </w:r>
      <w:r w:rsidRPr="00C04B9D">
        <w:rPr>
          <w:rFonts w:ascii="Arial" w:eastAsia="Times New Roman" w:hAnsi="Arial" w:cs="Arial"/>
          <w:b/>
          <w:bCs/>
          <w:color w:val="000000"/>
          <w:kern w:val="0"/>
          <w:sz w:val="21"/>
          <w:szCs w:val="21"/>
          <w:lang w:eastAsia="it-IT"/>
          <w14:ligatures w14:val="none"/>
        </w:rPr>
        <w:t>mantengano alta l’attenzione per fermare l’impoverimento della scuola pubblica e confermare le scelte di qualità e di garanzia del diritto allo studio.</w:t>
      </w:r>
    </w:p>
    <w:p w14:paraId="2753720B" w14:textId="08C5E6DF" w:rsidR="00C04B9D" w:rsidRPr="00C04B9D" w:rsidRDefault="00C04B9D" w:rsidP="00C04B9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C04B9D">
        <w:rPr>
          <w:rFonts w:ascii="Tahoma" w:eastAsia="Times New Roman" w:hAnsi="Tahoma" w:cs="Tahoma"/>
          <w:color w:val="DC3B33"/>
          <w:kern w:val="36"/>
          <w:sz w:val="45"/>
          <w:szCs w:val="45"/>
          <w:lang w:eastAsia="it-IT"/>
          <w14:ligatures w14:val="none"/>
        </w:rPr>
        <w:t>Immissioni in ruolo docenti 24/25, pubblicato il decreto ministeriale: inascoltate le osservazioni e le proposte della FLC CGIL</w:t>
      </w:r>
    </w:p>
    <w:p w14:paraId="474AE14B" w14:textId="77777777" w:rsidR="00C04B9D" w:rsidRPr="00C04B9D" w:rsidRDefault="00C04B9D" w:rsidP="00C04B9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04B9D">
        <w:rPr>
          <w:rFonts w:ascii="Arial" w:eastAsia="Times New Roman" w:hAnsi="Arial" w:cs="Arial"/>
          <w:color w:val="535353"/>
          <w:kern w:val="0"/>
          <w:sz w:val="27"/>
          <w:szCs w:val="27"/>
          <w:lang w:eastAsia="it-IT"/>
          <w14:ligatures w14:val="none"/>
        </w:rPr>
        <w:t>Il testo conferma integralmente la bozza presentata in sede di informativa sindacale, compreso il contingente pari al 70% dei posti vacanti. Il Ministero intende procedere con modalità di reclutamento inefficaci e dannose</w:t>
      </w:r>
    </w:p>
    <w:p w14:paraId="1EB1D729" w14:textId="77777777" w:rsidR="00C04B9D" w:rsidRPr="00C04B9D" w:rsidRDefault="00C04B9D" w:rsidP="00C04B9D">
      <w:pPr>
        <w:shd w:val="clear" w:color="auto" w:fill="FFFFFF"/>
        <w:spacing w:after="0" w:line="240" w:lineRule="auto"/>
        <w:rPr>
          <w:rFonts w:ascii="Arial" w:eastAsia="Times New Roman" w:hAnsi="Arial" w:cs="Arial"/>
          <w:color w:val="4D4D4D"/>
          <w:kern w:val="0"/>
          <w:sz w:val="21"/>
          <w:szCs w:val="21"/>
          <w:lang w:eastAsia="it-IT"/>
          <w14:ligatures w14:val="none"/>
        </w:rPr>
      </w:pPr>
      <w:r w:rsidRPr="00C04B9D">
        <w:rPr>
          <w:rFonts w:ascii="Arial" w:eastAsia="Times New Roman" w:hAnsi="Arial" w:cs="Arial"/>
          <w:b/>
          <w:bCs/>
          <w:color w:val="4D4D4D"/>
          <w:kern w:val="0"/>
          <w:sz w:val="21"/>
          <w:szCs w:val="21"/>
          <w:lang w:eastAsia="it-IT"/>
          <w14:ligatures w14:val="none"/>
        </w:rPr>
        <w:t>02/08/2024</w:t>
      </w:r>
    </w:p>
    <w:p w14:paraId="3175A19E" w14:textId="77777777" w:rsid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54364BB" w14:textId="7F1DB354"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Il DM 158 del 31 luglio 2024 conferma le </w:t>
      </w:r>
      <w:hyperlink r:id="rId14" w:tgtFrame="_blank" w:history="1">
        <w:r w:rsidRPr="00C04B9D">
          <w:rPr>
            <w:rFonts w:ascii="Arial" w:eastAsia="Times New Roman" w:hAnsi="Arial" w:cs="Arial"/>
            <w:color w:val="005EB3"/>
            <w:kern w:val="0"/>
            <w:sz w:val="21"/>
            <w:szCs w:val="21"/>
            <w:u w:val="single"/>
            <w:lang w:eastAsia="it-IT"/>
            <w14:ligatures w14:val="none"/>
          </w:rPr>
          <w:t>criticità già rilevate dalla FLC CGIL</w:t>
        </w:r>
      </w:hyperlink>
      <w:r w:rsidRPr="00C04B9D">
        <w:rPr>
          <w:rFonts w:ascii="Arial" w:eastAsia="Times New Roman" w:hAnsi="Arial" w:cs="Arial"/>
          <w:color w:val="000000"/>
          <w:kern w:val="0"/>
          <w:sz w:val="21"/>
          <w:szCs w:val="21"/>
          <w:lang w:eastAsia="it-IT"/>
          <w14:ligatures w14:val="none"/>
        </w:rPr>
        <w:t> in sede di informativa sindacale nell’</w:t>
      </w:r>
      <w:hyperlink r:id="rId15" w:tgtFrame="_blank" w:history="1">
        <w:r w:rsidRPr="00C04B9D">
          <w:rPr>
            <w:rFonts w:ascii="Arial" w:eastAsia="Times New Roman" w:hAnsi="Arial" w:cs="Arial"/>
            <w:color w:val="005EB3"/>
            <w:kern w:val="0"/>
            <w:sz w:val="21"/>
            <w:szCs w:val="21"/>
            <w:u w:val="single"/>
            <w:lang w:eastAsia="it-IT"/>
            <w14:ligatures w14:val="none"/>
          </w:rPr>
          <w:t>incontro con il Ministro Valditara</w:t>
        </w:r>
      </w:hyperlink>
      <w:r w:rsidRPr="00C04B9D">
        <w:rPr>
          <w:rFonts w:ascii="Arial" w:eastAsia="Times New Roman" w:hAnsi="Arial" w:cs="Arial"/>
          <w:color w:val="000000"/>
          <w:kern w:val="0"/>
          <w:sz w:val="21"/>
          <w:szCs w:val="21"/>
          <w:lang w:eastAsia="it-IT"/>
          <w14:ligatures w14:val="none"/>
        </w:rPr>
        <w:t>.</w:t>
      </w:r>
    </w:p>
    <w:p w14:paraId="557C0F0F"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Nessuna novità rispetto alla bozza presentata alle OO.SS. lo scorso 24 luglio, nessun accoglimento delle osservazioni e delle proposte avanzate. </w:t>
      </w:r>
    </w:p>
    <w:p w14:paraId="135A83F9"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Sono infatti autorizzate 45.124 immissioni che rappresentano il 70% dei posti vacanti e disponibili quantificati dallo stesso ministero, al termine delle operazioni di mobilità, in 64.156.</w:t>
      </w:r>
    </w:p>
    <w:p w14:paraId="1285B2EA"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Si tratta di una scelta dannosa, operata per consentire di destinare posti già pienamente disponibili alle prossime procedure concorsuali, ma che rappresenta una beffa per tutti i docenti che hanno partecipato a concorsi ordinari negli ultimi otto anni, superando tutte le prove, e si trovano ancora in attesa della meritata immissione in ruolo. </w:t>
      </w:r>
    </w:p>
    <w:p w14:paraId="2E2D6B1D"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Ancora più paradossale alla luce dei ritardi con cui si stanno svolgendo le prove orali delle procedure in corso, di cui l’esecutivo è assolutamente consapevole, tant’è vero che è stata approvata una apposita norma per consentire le assunzioni ben oltre l’avvio dell’anno scolastico.</w:t>
      </w:r>
    </w:p>
    <w:p w14:paraId="38C0C6E6" w14:textId="6F0071E1"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La FLC CGIL giudica negativamente le politiche adottate in tema di reclutamento e si impegna a mettere in campo iniziative per contrastare scelte che impediscono di avere in cattedra docenti selezionati e preparati, per ragioni che nulla hanno a che fare con la qualità del sistema di istruzione.</w:t>
      </w:r>
    </w:p>
    <w:p w14:paraId="5ECBD926" w14:textId="7ECDD066" w:rsidR="00C04B9D" w:rsidRPr="00C04B9D" w:rsidRDefault="00C04B9D" w:rsidP="00C04B9D">
      <w:pPr>
        <w:spacing w:after="0" w:line="525" w:lineRule="atLeast"/>
        <w:outlineLvl w:val="0"/>
        <w:rPr>
          <w:rFonts w:ascii="Tahoma" w:eastAsia="Times New Roman" w:hAnsi="Tahoma" w:cs="Tahoma"/>
          <w:color w:val="DC3B33"/>
          <w:kern w:val="36"/>
          <w:sz w:val="45"/>
          <w:szCs w:val="45"/>
          <w:lang w:eastAsia="it-IT"/>
          <w14:ligatures w14:val="none"/>
        </w:rPr>
      </w:pPr>
      <w:r w:rsidRPr="00C04B9D">
        <w:rPr>
          <w:rFonts w:ascii="Tahoma" w:eastAsia="Times New Roman" w:hAnsi="Tahoma" w:cs="Tahoma"/>
          <w:color w:val="DC3B33"/>
          <w:kern w:val="36"/>
          <w:sz w:val="45"/>
          <w:szCs w:val="45"/>
          <w:lang w:eastAsia="it-IT"/>
          <w14:ligatures w14:val="none"/>
        </w:rPr>
        <w:t>Incontro con il Ministro Valditara: no a nuovi concorsi in presenza di aspiranti che hanno superato precedenti procedure selettive</w:t>
      </w:r>
    </w:p>
    <w:p w14:paraId="4D56698F" w14:textId="77777777" w:rsidR="00C04B9D" w:rsidRPr="00C04B9D" w:rsidRDefault="00C04B9D" w:rsidP="00C04B9D">
      <w:pPr>
        <w:spacing w:before="75" w:after="75" w:line="240" w:lineRule="auto"/>
        <w:outlineLvl w:val="3"/>
        <w:rPr>
          <w:rFonts w:ascii="Times New Roman" w:eastAsia="Times New Roman" w:hAnsi="Times New Roman" w:cs="Times New Roman"/>
          <w:color w:val="535353"/>
          <w:kern w:val="0"/>
          <w:sz w:val="27"/>
          <w:szCs w:val="27"/>
          <w:lang w:eastAsia="it-IT"/>
          <w14:ligatures w14:val="none"/>
        </w:rPr>
      </w:pPr>
      <w:r w:rsidRPr="00C04B9D">
        <w:rPr>
          <w:rFonts w:ascii="Times New Roman" w:eastAsia="Times New Roman" w:hAnsi="Times New Roman" w:cs="Times New Roman"/>
          <w:color w:val="535353"/>
          <w:kern w:val="0"/>
          <w:sz w:val="27"/>
          <w:szCs w:val="27"/>
          <w:lang w:eastAsia="it-IT"/>
          <w14:ligatures w14:val="none"/>
        </w:rPr>
        <w:t>Occorre assumere su tutti i posti vacanti e disponibili, garantire i diritti degli idonei dei concorsi 2020 e 2023, implementare gli organici docenti e ATA, dare stabilità al sistema scolastico. Basta alimentare sacche di precariato</w:t>
      </w:r>
    </w:p>
    <w:p w14:paraId="071C7C3A" w14:textId="77777777" w:rsidR="00C04B9D" w:rsidRPr="00C04B9D" w:rsidRDefault="00C04B9D" w:rsidP="00C04B9D">
      <w:pPr>
        <w:spacing w:after="0" w:line="240" w:lineRule="auto"/>
        <w:rPr>
          <w:rFonts w:ascii="Times New Roman" w:eastAsia="Times New Roman" w:hAnsi="Times New Roman" w:cs="Times New Roman"/>
          <w:color w:val="4D4D4D"/>
          <w:kern w:val="0"/>
          <w:sz w:val="21"/>
          <w:szCs w:val="21"/>
          <w:lang w:eastAsia="it-IT"/>
          <w14:ligatures w14:val="none"/>
        </w:rPr>
      </w:pPr>
      <w:r w:rsidRPr="00C04B9D">
        <w:rPr>
          <w:rFonts w:ascii="Times New Roman" w:eastAsia="Times New Roman" w:hAnsi="Times New Roman" w:cs="Times New Roman"/>
          <w:b/>
          <w:bCs/>
          <w:color w:val="4D4D4D"/>
          <w:kern w:val="0"/>
          <w:sz w:val="21"/>
          <w:szCs w:val="21"/>
          <w:lang w:eastAsia="it-IT"/>
          <w14:ligatures w14:val="none"/>
        </w:rPr>
        <w:t>31/07/2024</w:t>
      </w:r>
    </w:p>
    <w:p w14:paraId="62893F78" w14:textId="77777777" w:rsid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4AF6D22" w14:textId="40C1B6A9"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lastRenderedPageBreak/>
        <w:t>Si è tenuto </w:t>
      </w:r>
      <w:r w:rsidRPr="00C04B9D">
        <w:rPr>
          <w:rFonts w:ascii="Arial" w:eastAsia="Times New Roman" w:hAnsi="Arial" w:cs="Arial"/>
          <w:b/>
          <w:bCs/>
          <w:color w:val="000000"/>
          <w:kern w:val="0"/>
          <w:sz w:val="21"/>
          <w:szCs w:val="21"/>
          <w:lang w:eastAsia="it-IT"/>
          <w14:ligatures w14:val="none"/>
        </w:rPr>
        <w:t>mercoledì 31 luglio 2024</w:t>
      </w:r>
      <w:r w:rsidRPr="00C04B9D">
        <w:rPr>
          <w:rFonts w:ascii="Arial" w:eastAsia="Times New Roman" w:hAnsi="Arial" w:cs="Arial"/>
          <w:color w:val="000000"/>
          <w:kern w:val="0"/>
          <w:sz w:val="21"/>
          <w:szCs w:val="21"/>
          <w:lang w:eastAsia="it-IT"/>
          <w14:ligatures w14:val="none"/>
        </w:rPr>
        <w:t> l’</w:t>
      </w:r>
      <w:r w:rsidRPr="00C04B9D">
        <w:rPr>
          <w:rFonts w:ascii="Arial" w:eastAsia="Times New Roman" w:hAnsi="Arial" w:cs="Arial"/>
          <w:b/>
          <w:bCs/>
          <w:color w:val="000000"/>
          <w:kern w:val="0"/>
          <w:sz w:val="21"/>
          <w:szCs w:val="21"/>
          <w:lang w:eastAsia="it-IT"/>
          <w14:ligatures w14:val="none"/>
        </w:rPr>
        <w:t>incontro con il Ministro Valditara</w:t>
      </w:r>
      <w:r w:rsidRPr="00C04B9D">
        <w:rPr>
          <w:rFonts w:ascii="Arial" w:eastAsia="Times New Roman" w:hAnsi="Arial" w:cs="Arial"/>
          <w:color w:val="000000"/>
          <w:kern w:val="0"/>
          <w:sz w:val="21"/>
          <w:szCs w:val="21"/>
          <w:lang w:eastAsia="it-IT"/>
          <w14:ligatures w14:val="none"/>
        </w:rPr>
        <w:t>, richiesto dalle organizzazioni sindacali FLC CGIL, CISL SCUOLA, SNALS CONFSAL e GILDA UNAMS, sulle</w:t>
      </w:r>
      <w:r w:rsidRPr="00C04B9D">
        <w:rPr>
          <w:rFonts w:ascii="Arial" w:eastAsia="Times New Roman" w:hAnsi="Arial" w:cs="Arial"/>
          <w:b/>
          <w:bCs/>
          <w:color w:val="000000"/>
          <w:kern w:val="0"/>
          <w:sz w:val="21"/>
          <w:szCs w:val="21"/>
          <w:lang w:eastAsia="it-IT"/>
          <w14:ligatures w14:val="none"/>
        </w:rPr>
        <w:t> procedure di assunzione</w:t>
      </w:r>
      <w:r w:rsidRPr="00C04B9D">
        <w:rPr>
          <w:rFonts w:ascii="Arial" w:eastAsia="Times New Roman" w:hAnsi="Arial" w:cs="Arial"/>
          <w:color w:val="000000"/>
          <w:kern w:val="0"/>
          <w:sz w:val="21"/>
          <w:szCs w:val="21"/>
          <w:lang w:eastAsia="it-IT"/>
          <w14:ligatures w14:val="none"/>
        </w:rPr>
        <w:t> del personale docente che si avvieranno nelle prossime settimane.</w:t>
      </w:r>
    </w:p>
    <w:p w14:paraId="296545E7"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La FLC CGIL ha rappresentato l’esigenza di politiche di reclutamento organiche e strutturate che vadano nella direzione di offrire prospettive occupazionali alle lavoratrici e ai lavoratori precari e stabilità al sistema di istruzione.</w:t>
      </w:r>
    </w:p>
    <w:p w14:paraId="2D378948"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Anche l’anno scolastico 2024/2025 si prospetta, al contrario, caratterizzato da un numero di contratti a tempo determinato consolidato e sempre meno sostenibile.</w:t>
      </w:r>
    </w:p>
    <w:p w14:paraId="469A6B3E"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È stata ricordata al Ministro la vergogna dei posti in deroga sul sostegno, autorizzati ad anno scolastico avanzato e spesso in esecuzione di provvedimenti giudiziari, che hanno superato ormai da qualche anno i posti in organico di diritto, determinando una gravissima precarizzazione del settore.</w:t>
      </w:r>
    </w:p>
    <w:p w14:paraId="2D110C6E"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Ma soprattutto, è stato ribadito che la previsione di bandire un ennesimo concorso in autunno, utilizzando posti già disponibili quest'anno, produrrà risultati deleteri, impedendo di coprire con docenti a tempo indeterminato quasi ventimila cattedre in organico di diritto.</w:t>
      </w:r>
    </w:p>
    <w:p w14:paraId="0216A8D0"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Ed è un paradosso alla luce del fatto che sono tuttora in corso le procedure concorsuali precedenti, risultate ingestibili da parte degli uffici scolastici regionali a causa delle difficoltà e dei ritardi nella costituzione delle commissioni/sottocommissioni e delle continue sostituzioni di componenti, dovuti all’onerosità del compito, richiesto senza alcun esonero dal servizio, e all’umiliazione di compensi in qualche caso quantificati in 80 centesimi per candidato.</w:t>
      </w:r>
    </w:p>
    <w:p w14:paraId="3A56E6AA"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L’obiettivo previsto dal PNRR di 70 mila docenti assunti entro il 2026 secondo il nuovo sistema di reclutamento, ripetutamente richiamato dal Ministro, non può essere un alibi per insistere con procedure che costituiscono un aggravio di spesa per lo Stato con l’unico risultato di alimentare le già troppo gonfie sacche di precarietà.</w:t>
      </w:r>
    </w:p>
    <w:p w14:paraId="32DBDCF4" w14:textId="77777777" w:rsidR="00C04B9D" w:rsidRPr="00C04B9D" w:rsidRDefault="00C04B9D" w:rsidP="00C04B9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04B9D">
        <w:rPr>
          <w:rFonts w:ascii="Arial" w:eastAsia="Times New Roman" w:hAnsi="Arial" w:cs="Arial"/>
          <w:b/>
          <w:bCs/>
          <w:color w:val="535353"/>
          <w:kern w:val="0"/>
          <w:sz w:val="27"/>
          <w:szCs w:val="27"/>
          <w:lang w:eastAsia="it-IT"/>
          <w14:ligatures w14:val="none"/>
        </w:rPr>
        <w:t>La FLC CGIL ha quindi chiesto:</w:t>
      </w:r>
    </w:p>
    <w:p w14:paraId="37B85B47" w14:textId="77777777" w:rsidR="00C04B9D" w:rsidRPr="00C04B9D" w:rsidRDefault="00C04B9D" w:rsidP="00C04B9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la rettifica del contingente autorizzato per le immissioni in ruolo 2024/2025, comprendendo tutti i posti vacanti e disponibili che sono quasi 65 mila;</w:t>
      </w:r>
    </w:p>
    <w:p w14:paraId="36927614" w14:textId="77777777" w:rsidR="00C04B9D" w:rsidRPr="00C04B9D" w:rsidRDefault="00C04B9D" w:rsidP="00C04B9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la copertura dei posti eccedenti rispetto al bando del concorso ordinario 2023 attraverso lo scorrimento delle graduatorie degli idonei delle precedenti procedure concorsuali;</w:t>
      </w:r>
    </w:p>
    <w:p w14:paraId="2BC8BB74" w14:textId="77777777" w:rsidR="00C04B9D" w:rsidRPr="00C04B9D" w:rsidRDefault="00C04B9D" w:rsidP="00C04B9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la costituzione di graduatorie permanenti per coloro che hanno partecipato al concorso 2023 superando tutte le prove;</w:t>
      </w:r>
    </w:p>
    <w:p w14:paraId="4ECC10FB" w14:textId="77777777" w:rsidR="00C04B9D" w:rsidRPr="00C04B9D" w:rsidRDefault="00C04B9D" w:rsidP="00C04B9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il blocco dei prossimi concorsi fino all’ esaurimento delle graduatorie concorsuali precedenti, compresa quella costituenda del 2023;</w:t>
      </w:r>
    </w:p>
    <w:p w14:paraId="05B43DBC" w14:textId="77777777" w:rsidR="00C04B9D" w:rsidRPr="00C04B9D" w:rsidRDefault="00C04B9D" w:rsidP="00C04B9D">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C04B9D">
        <w:rPr>
          <w:rFonts w:ascii="Arial" w:eastAsia="Times New Roman" w:hAnsi="Arial" w:cs="Arial"/>
          <w:color w:val="000000"/>
          <w:kern w:val="0"/>
          <w:sz w:val="23"/>
          <w:szCs w:val="23"/>
          <w:lang w:eastAsia="it-IT"/>
          <w14:ligatures w14:val="none"/>
        </w:rPr>
        <w:t>l’implementazione degli organici e la copertura di tutti i posti vacanti anche per il personale ATA, al fine di offrire prospettive occupazionali stabili, garantendo la funzionalità e la qualità del sistema.</w:t>
      </w:r>
    </w:p>
    <w:p w14:paraId="6EB112E3"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Il Ministro si è timidamente impegnato a valutare con il Ministro Fitto la possibilità di revisione degli obiettivi PNRR e, con maggiore convinzione, ad aprire da subito un’interlocuzione con il Ministro Giorgetti al fine di stanziare risorse nella prossima legge di bilancio per l’implementazione degli organici, con particolare attenzione alle note criticità relative al personale ATA.</w:t>
      </w:r>
    </w:p>
    <w:p w14:paraId="2A110480" w14:textId="77777777" w:rsidR="00C04B9D" w:rsidRPr="00C04B9D" w:rsidRDefault="00C04B9D" w:rsidP="00C04B9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C04B9D">
        <w:rPr>
          <w:rFonts w:ascii="Tahoma" w:eastAsia="Times New Roman" w:hAnsi="Tahoma" w:cs="Tahoma"/>
          <w:color w:val="DC3B33"/>
          <w:kern w:val="36"/>
          <w:sz w:val="45"/>
          <w:szCs w:val="45"/>
          <w:lang w:eastAsia="it-IT"/>
          <w14:ligatures w14:val="none"/>
        </w:rPr>
        <w:t>Attivazione percorso formazione incentivata docenti: un provvedimento tardivo e sbagliato</w:t>
      </w:r>
    </w:p>
    <w:p w14:paraId="69E674D8" w14:textId="77777777" w:rsidR="00C04B9D" w:rsidRPr="00C04B9D" w:rsidRDefault="00C04B9D" w:rsidP="00C04B9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04B9D">
        <w:rPr>
          <w:rFonts w:ascii="Arial" w:eastAsia="Times New Roman" w:hAnsi="Arial" w:cs="Arial"/>
          <w:color w:val="535353"/>
          <w:kern w:val="0"/>
          <w:sz w:val="27"/>
          <w:szCs w:val="27"/>
          <w:lang w:eastAsia="it-IT"/>
          <w14:ligatures w14:val="none"/>
        </w:rPr>
        <w:lastRenderedPageBreak/>
        <w:t>Molte criticità nel decreto: esclusione dei precari, tempistica sbagliata, nessuna implementazione di fondi per garantire il pagamento delle ore svolte in più dai docenti. Il Ministro Valditara sospenda queste attività in coerenza con la sua volontà di superare la figura del docente incentivato</w:t>
      </w:r>
    </w:p>
    <w:p w14:paraId="491D7436" w14:textId="77777777" w:rsidR="00C04B9D" w:rsidRPr="00C04B9D" w:rsidRDefault="00C04B9D" w:rsidP="00C04B9D">
      <w:pPr>
        <w:shd w:val="clear" w:color="auto" w:fill="FFFFFF"/>
        <w:spacing w:after="0" w:line="240" w:lineRule="auto"/>
        <w:rPr>
          <w:rFonts w:ascii="Arial" w:eastAsia="Times New Roman" w:hAnsi="Arial" w:cs="Arial"/>
          <w:color w:val="4D4D4D"/>
          <w:kern w:val="0"/>
          <w:sz w:val="21"/>
          <w:szCs w:val="21"/>
          <w:lang w:eastAsia="it-IT"/>
          <w14:ligatures w14:val="none"/>
        </w:rPr>
      </w:pPr>
      <w:r w:rsidRPr="00C04B9D">
        <w:rPr>
          <w:rFonts w:ascii="Arial" w:eastAsia="Times New Roman" w:hAnsi="Arial" w:cs="Arial"/>
          <w:b/>
          <w:bCs/>
          <w:color w:val="4D4D4D"/>
          <w:kern w:val="0"/>
          <w:sz w:val="21"/>
          <w:szCs w:val="21"/>
          <w:lang w:eastAsia="it-IT"/>
          <w14:ligatures w14:val="none"/>
        </w:rPr>
        <w:t>31/07/2024</w:t>
      </w:r>
    </w:p>
    <w:p w14:paraId="429FF716" w14:textId="77777777" w:rsidR="00C04B9D" w:rsidRDefault="00C04B9D" w:rsidP="00C04B9D">
      <w:pPr>
        <w:spacing w:after="0" w:line="240" w:lineRule="auto"/>
        <w:rPr>
          <w:rFonts w:ascii="Times New Roman" w:eastAsia="Times New Roman" w:hAnsi="Times New Roman" w:cs="Times New Roman"/>
          <w:kern w:val="0"/>
          <w:sz w:val="24"/>
          <w:szCs w:val="24"/>
          <w:lang w:eastAsia="it-IT"/>
          <w14:ligatures w14:val="none"/>
        </w:rPr>
      </w:pPr>
    </w:p>
    <w:p w14:paraId="7297AD4E"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Con ​la </w:t>
      </w:r>
      <w:hyperlink r:id="rId16" w:tgtFrame="_blank" w:history="1">
        <w:r w:rsidRPr="00C04B9D">
          <w:rPr>
            <w:rFonts w:ascii="Arial" w:eastAsia="Times New Roman" w:hAnsi="Arial" w:cs="Arial"/>
            <w:color w:val="005EB3"/>
            <w:kern w:val="0"/>
            <w:sz w:val="21"/>
            <w:szCs w:val="21"/>
            <w:u w:val="single"/>
            <w:lang w:eastAsia="it-IT"/>
            <w14:ligatures w14:val="none"/>
          </w:rPr>
          <w:t>nota 116995/24</w:t>
        </w:r>
      </w:hyperlink>
      <w:r w:rsidRPr="00C04B9D">
        <w:rPr>
          <w:rFonts w:ascii="Arial" w:eastAsia="Times New Roman" w:hAnsi="Arial" w:cs="Arial"/>
          <w:color w:val="000000"/>
          <w:kern w:val="0"/>
          <w:sz w:val="21"/>
          <w:szCs w:val="21"/>
          <w:lang w:eastAsia="it-IT"/>
          <w14:ligatures w14:val="none"/>
        </w:rPr>
        <w:t xml:space="preserve"> inviata a tutte le scuole il </w:t>
      </w:r>
      <w:proofErr w:type="spellStart"/>
      <w:r w:rsidRPr="00C04B9D">
        <w:rPr>
          <w:rFonts w:ascii="Arial" w:eastAsia="Times New Roman" w:hAnsi="Arial" w:cs="Arial"/>
          <w:color w:val="000000"/>
          <w:kern w:val="0"/>
          <w:sz w:val="21"/>
          <w:szCs w:val="21"/>
          <w:lang w:eastAsia="it-IT"/>
          <w14:ligatures w14:val="none"/>
        </w:rPr>
        <w:t>Mim</w:t>
      </w:r>
      <w:proofErr w:type="spellEnd"/>
      <w:r w:rsidRPr="00C04B9D">
        <w:rPr>
          <w:rFonts w:ascii="Arial" w:eastAsia="Times New Roman" w:hAnsi="Arial" w:cs="Arial"/>
          <w:color w:val="000000"/>
          <w:kern w:val="0"/>
          <w:sz w:val="21"/>
          <w:szCs w:val="21"/>
          <w:lang w:eastAsia="it-IT"/>
          <w14:ligatures w14:val="none"/>
        </w:rPr>
        <w:t xml:space="preserve"> ha dato avvio al percorso di formazione ​triennale incentivata dei docenti​ di cui al </w:t>
      </w:r>
      <w:hyperlink r:id="rId17" w:tgtFrame="_blank" w:history="1">
        <w:r w:rsidRPr="00C04B9D">
          <w:rPr>
            <w:rFonts w:ascii="Arial" w:eastAsia="Times New Roman" w:hAnsi="Arial" w:cs="Arial"/>
            <w:color w:val="005EB3"/>
            <w:kern w:val="0"/>
            <w:sz w:val="21"/>
            <w:szCs w:val="21"/>
            <w:u w:val="single"/>
            <w:lang w:eastAsia="it-IT"/>
            <w14:ligatures w14:val="none"/>
          </w:rPr>
          <w:t>DM 113 del 6 giugno 2024</w:t>
        </w:r>
      </w:hyperlink>
      <w:r w:rsidRPr="00C04B9D">
        <w:rPr>
          <w:rFonts w:ascii="Arial" w:eastAsia="Times New Roman" w:hAnsi="Arial" w:cs="Arial"/>
          <w:color w:val="000000"/>
          <w:kern w:val="0"/>
          <w:sz w:val="21"/>
          <w:szCs w:val="21"/>
          <w:lang w:eastAsia="it-IT"/>
          <w14:ligatures w14:val="none"/>
        </w:rPr>
        <w:t> in applicazione dell'art. 16ter del D.lgs. n. 59/2017.</w:t>
      </w:r>
    </w:p>
    <w:p w14:paraId="3FE07B3A"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 xml:space="preserve">Il percorso è rivolto ai docenti ​"con incarichi di collaborazione e supporto del sistema organizzativo dell'istituzione scolastica e della dirigenza scolastica </w:t>
      </w:r>
      <w:proofErr w:type="spellStart"/>
      <w:r w:rsidRPr="00C04B9D">
        <w:rPr>
          <w:rFonts w:ascii="Arial" w:eastAsia="Times New Roman" w:hAnsi="Arial" w:cs="Arial"/>
          <w:color w:val="000000"/>
          <w:kern w:val="0"/>
          <w:sz w:val="21"/>
          <w:szCs w:val="21"/>
          <w:lang w:eastAsia="it-IT"/>
          <w14:ligatures w14:val="none"/>
        </w:rPr>
        <w:t>nell'a.s.</w:t>
      </w:r>
      <w:proofErr w:type="spellEnd"/>
      <w:r w:rsidRPr="00C04B9D">
        <w:rPr>
          <w:rFonts w:ascii="Arial" w:eastAsia="Times New Roman" w:hAnsi="Arial" w:cs="Arial"/>
          <w:color w:val="000000"/>
          <w:kern w:val="0"/>
          <w:sz w:val="21"/>
          <w:szCs w:val="21"/>
          <w:lang w:eastAsia="it-IT"/>
          <w14:ligatures w14:val="none"/>
        </w:rPr>
        <w:t xml:space="preserve"> 2023/24" e prevede:</w:t>
      </w:r>
    </w:p>
    <w:p w14:paraId="21E43D82"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 xml:space="preserve">- </w:t>
      </w:r>
      <w:proofErr w:type="spellStart"/>
      <w:r w:rsidRPr="00C04B9D">
        <w:rPr>
          <w:rFonts w:ascii="Arial" w:eastAsia="Times New Roman" w:hAnsi="Arial" w:cs="Arial"/>
          <w:color w:val="000000"/>
          <w:kern w:val="0"/>
          <w:sz w:val="21"/>
          <w:szCs w:val="21"/>
          <w:lang w:eastAsia="it-IT"/>
          <w14:ligatures w14:val="none"/>
        </w:rPr>
        <w:t>l​a</w:t>
      </w:r>
      <w:proofErr w:type="spellEnd"/>
      <w:r w:rsidRPr="00C04B9D">
        <w:rPr>
          <w:rFonts w:ascii="Arial" w:eastAsia="Times New Roman" w:hAnsi="Arial" w:cs="Arial"/>
          <w:color w:val="000000"/>
          <w:kern w:val="0"/>
          <w:sz w:val="21"/>
          <w:szCs w:val="21"/>
          <w:lang w:eastAsia="it-IT"/>
          <w14:ligatures w14:val="none"/>
        </w:rPr>
        <w:t xml:space="preserve"> partecipazione volontaria​ e riservata al solo personale di ruolo;</w:t>
      </w:r>
    </w:p>
    <w:p w14:paraId="4C186B1C"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 l'iscrizione tra il 29 luglio e il 23 agosto​ mediante la piattaforma "Scuola futura";</w:t>
      </w:r>
    </w:p>
    <w:p w14:paraId="5FD1E491"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  30 ore ​di attività di formazione on line e in modalità asincrona da svolgersi al di fuori dell'orario di insegnamento.</w:t>
      </w:r>
    </w:p>
    <w:p w14:paraId="123A6EE3"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La partecipazione ​alle attività formative può essere retribuita ​con compensi forfetari a carico del FMOF da definire in sede di contrattazione d'istituto. In alternativa​ ai docenti è riconosciuta la fruizione dei cinque giorni per la partecipazione con esonero dal servizio a iniziative di formazione (di cui all'art- 36 del CCNL 2019/21). L'iscrizione al percorso di formazione deve essere effettuata dal personale interessato e con i requisiti indicati sulla piattaforma "Scuola futura".</w:t>
      </w:r>
    </w:p>
    <w:p w14:paraId="66BCB6A1"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b/>
          <w:bCs/>
          <w:color w:val="000000"/>
          <w:kern w:val="0"/>
          <w:sz w:val="21"/>
          <w:szCs w:val="21"/>
          <w:lang w:eastAsia="it-IT"/>
          <w14:ligatures w14:val="none"/>
        </w:rPr>
        <w:t>La posizione della FLC CGIL</w:t>
      </w:r>
    </w:p>
    <w:p w14:paraId="70B73938"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Come FLC CGIL abbiamo più volte ribadito la nostra contrarietà al percorso di formazione incentivata previsto dal​ D. Lgs n. 59/2017 (come modificato dal DL 36/2022) poiché si tratta di una procedura selettiva e competitiva, rivolta ad una estrema minoranza di docenti​, che ​esclude il personale precario, che non riconosce e valorizza l'impegno professionale della ​maggioranza degli insegnanti grazie al cui lavoro, individuale e collegiale, ​viene garanti​</w:t>
      </w:r>
      <w:proofErr w:type="spellStart"/>
      <w:r w:rsidRPr="00C04B9D">
        <w:rPr>
          <w:rFonts w:ascii="Arial" w:eastAsia="Times New Roman" w:hAnsi="Arial" w:cs="Arial"/>
          <w:color w:val="000000"/>
          <w:kern w:val="0"/>
          <w:sz w:val="21"/>
          <w:szCs w:val="21"/>
          <w:lang w:eastAsia="it-IT"/>
          <w14:ligatures w14:val="none"/>
        </w:rPr>
        <w:t>ta</w:t>
      </w:r>
      <w:proofErr w:type="spellEnd"/>
      <w:r w:rsidRPr="00C04B9D">
        <w:rPr>
          <w:rFonts w:ascii="Arial" w:eastAsia="Times New Roman" w:hAnsi="Arial" w:cs="Arial"/>
          <w:color w:val="000000"/>
          <w:kern w:val="0"/>
          <w:sz w:val="21"/>
          <w:szCs w:val="21"/>
          <w:lang w:eastAsia="it-IT"/>
          <w14:ligatures w14:val="none"/>
        </w:rPr>
        <w:t>  didattica di qualità per tutti gli alunni e ​gli studenti.</w:t>
      </w:r>
    </w:p>
    <w:p w14:paraId="401B076A"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 xml:space="preserve">La nota operativa del </w:t>
      </w:r>
      <w:proofErr w:type="spellStart"/>
      <w:r w:rsidRPr="00C04B9D">
        <w:rPr>
          <w:rFonts w:ascii="Arial" w:eastAsia="Times New Roman" w:hAnsi="Arial" w:cs="Arial"/>
          <w:color w:val="000000"/>
          <w:kern w:val="0"/>
          <w:sz w:val="21"/>
          <w:szCs w:val="21"/>
          <w:lang w:eastAsia="it-IT"/>
          <w14:ligatures w14:val="none"/>
        </w:rPr>
        <w:t>Mim</w:t>
      </w:r>
      <w:proofErr w:type="spellEnd"/>
      <w:r w:rsidRPr="00C04B9D">
        <w:rPr>
          <w:rFonts w:ascii="Arial" w:eastAsia="Times New Roman" w:hAnsi="Arial" w:cs="Arial"/>
          <w:color w:val="000000"/>
          <w:kern w:val="0"/>
          <w:sz w:val="21"/>
          <w:szCs w:val="21"/>
          <w:lang w:eastAsia="it-IT"/>
          <w14:ligatures w14:val="none"/>
        </w:rPr>
        <w:t xml:space="preserve"> ​evidenzia ulteriori elementi di criticità​ presenti nel DM​: ​sono esclusi i docenti precari, l'attività di formazione proposta riguarda l'anno scolastico già terminato, le iscrizioni vengono effettuate in piena estate quando il personale docente è in gran parte in ferie, la mancanza di stanziamenti aggiuntivi per rendere compatibile i fondi FMOF con la retribuzione delle attività di formazione svolta dai docenti, oltre le 80.</w:t>
      </w:r>
    </w:p>
    <w:p w14:paraId="67F840E7"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Alla luce di tutte queste circostanze risulta condivisibile​ l’orientamento di molti docenti di non voler aderire a questo percorso di formazione calato dall'alto, dai contenuti alquanto discutibili, attivato solo per ​ottemperare ad un impegno sconsideratamente assunto dal precedentemente governo nei confronti del PNRR.</w:t>
      </w:r>
    </w:p>
    <w:p w14:paraId="39DEBE20"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Il Ministro Valditara ​ha di recente pubblicamente affermato di voler "superare" ​le disposizioni imposte dall'Europa ​sul "docente stabilmente incentivato" ma evidentemente non è sua volontà o capacità.</w:t>
      </w:r>
    </w:p>
    <w:p w14:paraId="3130B428"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Come FLC CGIL chiediamo che il provvedimento venga sospeso e che tutta la materia sia regolata nella sede propria che è quella del contratto nazionale di cui si attende da tempo l'apertura delle trattative per il suo rinnovo anche al fine di recuperare il potere d'acquisto perso dagli stipendi ​del personale della scuola negli ultimi anni a causa dell'inflazione.</w:t>
      </w:r>
    </w:p>
    <w:p w14:paraId="347C36E7" w14:textId="77777777" w:rsidR="00C04B9D" w:rsidRPr="00C04B9D" w:rsidRDefault="00C04B9D" w:rsidP="00C04B9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04B9D">
        <w:rPr>
          <w:rFonts w:ascii="Arial" w:eastAsia="Times New Roman" w:hAnsi="Arial" w:cs="Arial"/>
          <w:color w:val="000000"/>
          <w:kern w:val="0"/>
          <w:sz w:val="21"/>
          <w:szCs w:val="21"/>
          <w:lang w:eastAsia="it-IT"/>
          <w14:ligatures w14:val="none"/>
        </w:rPr>
        <w:t>Ma anche questo temiamo che non sia tra ​gli interessi di questo Ministro.</w:t>
      </w:r>
    </w:p>
    <w:p w14:paraId="0E2177C6" w14:textId="77777777" w:rsidR="00802D4B" w:rsidRPr="00802D4B" w:rsidRDefault="00802D4B" w:rsidP="00802D4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02D4B">
        <w:rPr>
          <w:rFonts w:ascii="Tahoma" w:eastAsia="Times New Roman" w:hAnsi="Tahoma" w:cs="Tahoma"/>
          <w:color w:val="DC3B33"/>
          <w:kern w:val="36"/>
          <w:sz w:val="45"/>
          <w:szCs w:val="45"/>
          <w:lang w:eastAsia="it-IT"/>
          <w14:ligatures w14:val="none"/>
        </w:rPr>
        <w:lastRenderedPageBreak/>
        <w:t>Contratti a tempo determinato finalizzati al ruolo: non è consentito usufruire dell’art. 47 del CCNL</w:t>
      </w:r>
    </w:p>
    <w:p w14:paraId="34FC8E6B" w14:textId="77777777" w:rsidR="00802D4B" w:rsidRPr="00802D4B" w:rsidRDefault="00802D4B" w:rsidP="00802D4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02D4B">
        <w:rPr>
          <w:rFonts w:ascii="Arial" w:eastAsia="Times New Roman" w:hAnsi="Arial" w:cs="Arial"/>
          <w:color w:val="535353"/>
          <w:kern w:val="0"/>
          <w:sz w:val="27"/>
          <w:szCs w:val="27"/>
          <w:lang w:eastAsia="it-IT"/>
          <w14:ligatures w14:val="none"/>
        </w:rPr>
        <w:t>Una nota del Ministero dell’istruzione conferma l’inapplicabilità della norma contrattuale ai docenti “vincolati” ai sensi del DL 44/2023.</w:t>
      </w:r>
    </w:p>
    <w:p w14:paraId="57F06E25" w14:textId="77777777" w:rsidR="00802D4B" w:rsidRPr="00802D4B" w:rsidRDefault="00802D4B" w:rsidP="00802D4B">
      <w:pPr>
        <w:shd w:val="clear" w:color="auto" w:fill="FFFFFF"/>
        <w:spacing w:after="0" w:line="240" w:lineRule="auto"/>
        <w:rPr>
          <w:rFonts w:ascii="Arial" w:eastAsia="Times New Roman" w:hAnsi="Arial" w:cs="Arial"/>
          <w:color w:val="4D4D4D"/>
          <w:kern w:val="0"/>
          <w:sz w:val="21"/>
          <w:szCs w:val="21"/>
          <w:lang w:eastAsia="it-IT"/>
          <w14:ligatures w14:val="none"/>
        </w:rPr>
      </w:pPr>
      <w:r w:rsidRPr="00802D4B">
        <w:rPr>
          <w:rFonts w:ascii="Arial" w:eastAsia="Times New Roman" w:hAnsi="Arial" w:cs="Arial"/>
          <w:b/>
          <w:bCs/>
          <w:color w:val="4D4D4D"/>
          <w:kern w:val="0"/>
          <w:sz w:val="21"/>
          <w:szCs w:val="21"/>
          <w:lang w:eastAsia="it-IT"/>
          <w14:ligatures w14:val="none"/>
        </w:rPr>
        <w:t>01/08/2024</w:t>
      </w:r>
    </w:p>
    <w:p w14:paraId="11070E05" w14:textId="77777777" w:rsidR="00802D4B" w:rsidRDefault="00802D4B" w:rsidP="00802D4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882DC3E" w14:textId="1512E5D0" w:rsidR="00802D4B" w:rsidRPr="00802D4B" w:rsidRDefault="00802D4B" w:rsidP="00802D4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02D4B">
        <w:rPr>
          <w:rFonts w:ascii="Arial" w:eastAsia="Times New Roman" w:hAnsi="Arial" w:cs="Arial"/>
          <w:color w:val="000000"/>
          <w:kern w:val="0"/>
          <w:sz w:val="21"/>
          <w:szCs w:val="21"/>
          <w:lang w:eastAsia="it-IT"/>
          <w14:ligatures w14:val="none"/>
        </w:rPr>
        <w:t>Ad integrazione e rettifica della circolare </w:t>
      </w:r>
      <w:hyperlink r:id="rId18" w:tgtFrame="_blank" w:tooltip="Visualizza l'articolo" w:history="1">
        <w:r w:rsidRPr="00802D4B">
          <w:rPr>
            <w:rFonts w:ascii="Arial" w:eastAsia="Times New Roman" w:hAnsi="Arial" w:cs="Arial"/>
            <w:color w:val="005EB3"/>
            <w:kern w:val="0"/>
            <w:sz w:val="21"/>
            <w:szCs w:val="21"/>
            <w:u w:val="single"/>
            <w:lang w:eastAsia="it-IT"/>
            <w14:ligatures w14:val="none"/>
          </w:rPr>
          <w:t>115135 del 25 luglio 2024</w:t>
        </w:r>
      </w:hyperlink>
      <w:r w:rsidRPr="00802D4B">
        <w:rPr>
          <w:rFonts w:ascii="Arial" w:eastAsia="Times New Roman" w:hAnsi="Arial" w:cs="Arial"/>
          <w:color w:val="000000"/>
          <w:kern w:val="0"/>
          <w:sz w:val="21"/>
          <w:szCs w:val="21"/>
          <w:lang w:eastAsia="it-IT"/>
          <w14:ligatures w14:val="none"/>
        </w:rPr>
        <w:t> sulle supplenze, il Ministero dell’Istruzione ha emanato la </w:t>
      </w:r>
      <w:hyperlink r:id="rId19" w:tgtFrame="_blank" w:history="1">
        <w:r w:rsidRPr="00802D4B">
          <w:rPr>
            <w:rFonts w:ascii="Arial" w:eastAsia="Times New Roman" w:hAnsi="Arial" w:cs="Arial"/>
            <w:color w:val="005EB3"/>
            <w:kern w:val="0"/>
            <w:sz w:val="21"/>
            <w:szCs w:val="21"/>
            <w:u w:val="single"/>
            <w:lang w:eastAsia="it-IT"/>
            <w14:ligatures w14:val="none"/>
          </w:rPr>
          <w:t>nota 118635 del 31 luglio 2024</w:t>
        </w:r>
      </w:hyperlink>
      <w:r w:rsidRPr="00802D4B">
        <w:rPr>
          <w:rFonts w:ascii="Arial" w:eastAsia="Times New Roman" w:hAnsi="Arial" w:cs="Arial"/>
          <w:color w:val="000000"/>
          <w:kern w:val="0"/>
          <w:sz w:val="21"/>
          <w:szCs w:val="21"/>
          <w:lang w:eastAsia="it-IT"/>
          <w14:ligatures w14:val="none"/>
        </w:rPr>
        <w:t> relativa alla possibilità per i docenti con contratto a tempo determinato finalizzato al ruolo di accettare, ai sensi dell’art. 47 del CCNL istruzione e ricerca – settore scuola, di accettare rapporti di lavoro a tempo determinato in un diverso ordine di scuola o per altra tipologia o classe di concorso,</w:t>
      </w:r>
    </w:p>
    <w:p w14:paraId="6F48002D" w14:textId="77777777" w:rsidR="00802D4B" w:rsidRPr="00802D4B" w:rsidRDefault="00802D4B" w:rsidP="00802D4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02D4B">
        <w:rPr>
          <w:rFonts w:ascii="Arial" w:eastAsia="Times New Roman" w:hAnsi="Arial" w:cs="Arial"/>
          <w:color w:val="000000"/>
          <w:kern w:val="0"/>
          <w:sz w:val="21"/>
          <w:szCs w:val="21"/>
          <w:lang w:eastAsia="it-IT"/>
          <w14:ligatures w14:val="none"/>
        </w:rPr>
        <w:t>La nota chiarisce che, in base all’art. 5 comma 10 del DL 44/2023, che recita “</w:t>
      </w:r>
      <w:r w:rsidRPr="00802D4B">
        <w:rPr>
          <w:rFonts w:ascii="Arial" w:eastAsia="Times New Roman" w:hAnsi="Arial" w:cs="Arial"/>
          <w:i/>
          <w:iCs/>
          <w:color w:val="000000"/>
          <w:kern w:val="0"/>
          <w:sz w:val="21"/>
          <w:szCs w:val="21"/>
          <w:lang w:eastAsia="it-IT"/>
          <w14:ligatures w14:val="none"/>
        </w:rPr>
        <w:t>a decorrere dall'anno scolastico 2023/2024, i docenti destinatari di nomina a tempo determinato (finalizzata al ruolo) possono chiedere il trasferimento, l'assegnazione provvisoria o l'utilizzazione in altra istituzione scolastica ovvero ricoprire incarichi di insegnamento a tempo determinato in altro ruolo o classe di concorso soltanto dopo tre anni scolastici di effettivo servizio nell'istituzione scolastica”, </w:t>
      </w:r>
      <w:r w:rsidRPr="00802D4B">
        <w:rPr>
          <w:rFonts w:ascii="Arial" w:eastAsia="Times New Roman" w:hAnsi="Arial" w:cs="Arial"/>
          <w:color w:val="000000"/>
          <w:kern w:val="0"/>
          <w:sz w:val="21"/>
          <w:szCs w:val="21"/>
          <w:lang w:eastAsia="it-IT"/>
          <w14:ligatures w14:val="none"/>
        </w:rPr>
        <w:t> tale opzione non è consentita ai docenti di cui sopra.</w:t>
      </w:r>
    </w:p>
    <w:p w14:paraId="30C7F341"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999"/>
    <w:multiLevelType w:val="multilevel"/>
    <w:tmpl w:val="3C2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422F4"/>
    <w:multiLevelType w:val="multilevel"/>
    <w:tmpl w:val="5AF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13CBB"/>
    <w:multiLevelType w:val="multilevel"/>
    <w:tmpl w:val="09D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22E65"/>
    <w:multiLevelType w:val="multilevel"/>
    <w:tmpl w:val="1042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E6E92"/>
    <w:multiLevelType w:val="multilevel"/>
    <w:tmpl w:val="4BB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11AB2"/>
    <w:multiLevelType w:val="multilevel"/>
    <w:tmpl w:val="B05AF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34953A6"/>
    <w:multiLevelType w:val="multilevel"/>
    <w:tmpl w:val="849E0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5A2214"/>
    <w:multiLevelType w:val="multilevel"/>
    <w:tmpl w:val="1B9E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50455">
    <w:abstractNumId w:val="3"/>
  </w:num>
  <w:num w:numId="2" w16cid:durableId="1864978915">
    <w:abstractNumId w:val="2"/>
  </w:num>
  <w:num w:numId="3" w16cid:durableId="1161774066">
    <w:abstractNumId w:val="4"/>
  </w:num>
  <w:num w:numId="4" w16cid:durableId="1579288461">
    <w:abstractNumId w:val="1"/>
  </w:num>
  <w:num w:numId="5" w16cid:durableId="2043631184">
    <w:abstractNumId w:val="5"/>
  </w:num>
  <w:num w:numId="6" w16cid:durableId="1983190679">
    <w:abstractNumId w:val="0"/>
  </w:num>
  <w:num w:numId="7" w16cid:durableId="1626883952">
    <w:abstractNumId w:val="6"/>
  </w:num>
  <w:num w:numId="8" w16cid:durableId="1559129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9D"/>
    <w:rsid w:val="000D0D40"/>
    <w:rsid w:val="000D0EC2"/>
    <w:rsid w:val="00802D4B"/>
    <w:rsid w:val="00933E38"/>
    <w:rsid w:val="00C04B9D"/>
    <w:rsid w:val="00F85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9424"/>
  <w15:chartTrackingRefBased/>
  <w15:docId w15:val="{22A21E80-961B-4332-B6CD-44408D42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60669">
      <w:bodyDiv w:val="1"/>
      <w:marLeft w:val="0"/>
      <w:marRight w:val="0"/>
      <w:marTop w:val="0"/>
      <w:marBottom w:val="0"/>
      <w:divBdr>
        <w:top w:val="none" w:sz="0" w:space="0" w:color="auto"/>
        <w:left w:val="none" w:sz="0" w:space="0" w:color="auto"/>
        <w:bottom w:val="none" w:sz="0" w:space="0" w:color="auto"/>
        <w:right w:val="none" w:sz="0" w:space="0" w:color="auto"/>
      </w:divBdr>
      <w:divsChild>
        <w:div w:id="1582837189">
          <w:marLeft w:val="0"/>
          <w:marRight w:val="0"/>
          <w:marTop w:val="150"/>
          <w:marBottom w:val="150"/>
          <w:divBdr>
            <w:top w:val="none" w:sz="0" w:space="0" w:color="auto"/>
            <w:left w:val="none" w:sz="0" w:space="0" w:color="auto"/>
            <w:bottom w:val="single" w:sz="6" w:space="0" w:color="CCCCCC"/>
            <w:right w:val="none" w:sz="0" w:space="0" w:color="auto"/>
          </w:divBdr>
          <w:divsChild>
            <w:div w:id="121770831">
              <w:marLeft w:val="0"/>
              <w:marRight w:val="0"/>
              <w:marTop w:val="0"/>
              <w:marBottom w:val="0"/>
              <w:divBdr>
                <w:top w:val="none" w:sz="0" w:space="0" w:color="auto"/>
                <w:left w:val="none" w:sz="0" w:space="0" w:color="auto"/>
                <w:bottom w:val="none" w:sz="0" w:space="0" w:color="auto"/>
                <w:right w:val="none" w:sz="0" w:space="0" w:color="auto"/>
              </w:divBdr>
            </w:div>
          </w:divsChild>
        </w:div>
        <w:div w:id="1565942917">
          <w:marLeft w:val="0"/>
          <w:marRight w:val="0"/>
          <w:marTop w:val="0"/>
          <w:marBottom w:val="0"/>
          <w:divBdr>
            <w:top w:val="none" w:sz="0" w:space="0" w:color="auto"/>
            <w:left w:val="none" w:sz="0" w:space="0" w:color="auto"/>
            <w:bottom w:val="none" w:sz="0" w:space="0" w:color="auto"/>
            <w:right w:val="none" w:sz="0" w:space="0" w:color="auto"/>
          </w:divBdr>
          <w:divsChild>
            <w:div w:id="96801085">
              <w:marLeft w:val="75"/>
              <w:marRight w:val="150"/>
              <w:marTop w:val="45"/>
              <w:marBottom w:val="75"/>
              <w:divBdr>
                <w:top w:val="none" w:sz="0" w:space="0" w:color="auto"/>
                <w:left w:val="none" w:sz="0" w:space="0" w:color="auto"/>
                <w:bottom w:val="none" w:sz="0" w:space="0" w:color="auto"/>
                <w:right w:val="none" w:sz="0" w:space="0" w:color="auto"/>
              </w:divBdr>
            </w:div>
            <w:div w:id="1489638417">
              <w:marLeft w:val="300"/>
              <w:marRight w:val="150"/>
              <w:marTop w:val="75"/>
              <w:marBottom w:val="0"/>
              <w:divBdr>
                <w:top w:val="none" w:sz="0" w:space="0" w:color="auto"/>
                <w:left w:val="none" w:sz="0" w:space="0" w:color="auto"/>
                <w:bottom w:val="none" w:sz="0" w:space="0" w:color="auto"/>
                <w:right w:val="none" w:sz="0" w:space="0" w:color="auto"/>
              </w:divBdr>
            </w:div>
            <w:div w:id="1286497493">
              <w:marLeft w:val="300"/>
              <w:marRight w:val="150"/>
              <w:marTop w:val="75"/>
              <w:marBottom w:val="0"/>
              <w:divBdr>
                <w:top w:val="none" w:sz="0" w:space="0" w:color="auto"/>
                <w:left w:val="none" w:sz="0" w:space="0" w:color="auto"/>
                <w:bottom w:val="none" w:sz="0" w:space="0" w:color="auto"/>
                <w:right w:val="none" w:sz="0" w:space="0" w:color="auto"/>
              </w:divBdr>
            </w:div>
          </w:divsChild>
        </w:div>
        <w:div w:id="1748113904">
          <w:marLeft w:val="0"/>
          <w:marRight w:val="0"/>
          <w:marTop w:val="75"/>
          <w:marBottom w:val="150"/>
          <w:divBdr>
            <w:top w:val="none" w:sz="0" w:space="0" w:color="auto"/>
            <w:left w:val="none" w:sz="0" w:space="0" w:color="auto"/>
            <w:bottom w:val="none" w:sz="0" w:space="0" w:color="auto"/>
            <w:right w:val="none" w:sz="0" w:space="0" w:color="auto"/>
          </w:divBdr>
        </w:div>
      </w:divsChild>
    </w:div>
    <w:div w:id="435365610">
      <w:bodyDiv w:val="1"/>
      <w:marLeft w:val="0"/>
      <w:marRight w:val="0"/>
      <w:marTop w:val="0"/>
      <w:marBottom w:val="0"/>
      <w:divBdr>
        <w:top w:val="none" w:sz="0" w:space="0" w:color="auto"/>
        <w:left w:val="none" w:sz="0" w:space="0" w:color="auto"/>
        <w:bottom w:val="none" w:sz="0" w:space="0" w:color="auto"/>
        <w:right w:val="none" w:sz="0" w:space="0" w:color="auto"/>
      </w:divBdr>
      <w:divsChild>
        <w:div w:id="1543325574">
          <w:marLeft w:val="0"/>
          <w:marRight w:val="0"/>
          <w:marTop w:val="150"/>
          <w:marBottom w:val="150"/>
          <w:divBdr>
            <w:top w:val="none" w:sz="0" w:space="0" w:color="auto"/>
            <w:left w:val="none" w:sz="0" w:space="0" w:color="auto"/>
            <w:bottom w:val="single" w:sz="6" w:space="0" w:color="CCCCCC"/>
            <w:right w:val="none" w:sz="0" w:space="0" w:color="auto"/>
          </w:divBdr>
          <w:divsChild>
            <w:div w:id="1809737591">
              <w:marLeft w:val="0"/>
              <w:marRight w:val="0"/>
              <w:marTop w:val="0"/>
              <w:marBottom w:val="0"/>
              <w:divBdr>
                <w:top w:val="none" w:sz="0" w:space="0" w:color="auto"/>
                <w:left w:val="none" w:sz="0" w:space="0" w:color="auto"/>
                <w:bottom w:val="none" w:sz="0" w:space="0" w:color="auto"/>
                <w:right w:val="none" w:sz="0" w:space="0" w:color="auto"/>
              </w:divBdr>
            </w:div>
          </w:divsChild>
        </w:div>
        <w:div w:id="1254700057">
          <w:marLeft w:val="0"/>
          <w:marRight w:val="0"/>
          <w:marTop w:val="0"/>
          <w:marBottom w:val="0"/>
          <w:divBdr>
            <w:top w:val="none" w:sz="0" w:space="0" w:color="auto"/>
            <w:left w:val="none" w:sz="0" w:space="0" w:color="auto"/>
            <w:bottom w:val="none" w:sz="0" w:space="0" w:color="auto"/>
            <w:right w:val="none" w:sz="0" w:space="0" w:color="auto"/>
          </w:divBdr>
          <w:divsChild>
            <w:div w:id="1825972573">
              <w:marLeft w:val="75"/>
              <w:marRight w:val="150"/>
              <w:marTop w:val="45"/>
              <w:marBottom w:val="75"/>
              <w:divBdr>
                <w:top w:val="none" w:sz="0" w:space="0" w:color="auto"/>
                <w:left w:val="none" w:sz="0" w:space="0" w:color="auto"/>
                <w:bottom w:val="none" w:sz="0" w:space="0" w:color="auto"/>
                <w:right w:val="none" w:sz="0" w:space="0" w:color="auto"/>
              </w:divBdr>
            </w:div>
            <w:div w:id="88359610">
              <w:marLeft w:val="300"/>
              <w:marRight w:val="150"/>
              <w:marTop w:val="75"/>
              <w:marBottom w:val="0"/>
              <w:divBdr>
                <w:top w:val="none" w:sz="0" w:space="0" w:color="auto"/>
                <w:left w:val="none" w:sz="0" w:space="0" w:color="auto"/>
                <w:bottom w:val="none" w:sz="0" w:space="0" w:color="auto"/>
                <w:right w:val="none" w:sz="0" w:space="0" w:color="auto"/>
              </w:divBdr>
            </w:div>
            <w:div w:id="1705135331">
              <w:marLeft w:val="300"/>
              <w:marRight w:val="150"/>
              <w:marTop w:val="75"/>
              <w:marBottom w:val="0"/>
              <w:divBdr>
                <w:top w:val="none" w:sz="0" w:space="0" w:color="auto"/>
                <w:left w:val="none" w:sz="0" w:space="0" w:color="auto"/>
                <w:bottom w:val="none" w:sz="0" w:space="0" w:color="auto"/>
                <w:right w:val="none" w:sz="0" w:space="0" w:color="auto"/>
              </w:divBdr>
            </w:div>
          </w:divsChild>
        </w:div>
        <w:div w:id="1117139869">
          <w:marLeft w:val="0"/>
          <w:marRight w:val="0"/>
          <w:marTop w:val="75"/>
          <w:marBottom w:val="150"/>
          <w:divBdr>
            <w:top w:val="none" w:sz="0" w:space="0" w:color="auto"/>
            <w:left w:val="none" w:sz="0" w:space="0" w:color="auto"/>
            <w:bottom w:val="none" w:sz="0" w:space="0" w:color="auto"/>
            <w:right w:val="none" w:sz="0" w:space="0" w:color="auto"/>
          </w:divBdr>
        </w:div>
      </w:divsChild>
    </w:div>
    <w:div w:id="966470673">
      <w:bodyDiv w:val="1"/>
      <w:marLeft w:val="0"/>
      <w:marRight w:val="0"/>
      <w:marTop w:val="0"/>
      <w:marBottom w:val="0"/>
      <w:divBdr>
        <w:top w:val="none" w:sz="0" w:space="0" w:color="auto"/>
        <w:left w:val="none" w:sz="0" w:space="0" w:color="auto"/>
        <w:bottom w:val="none" w:sz="0" w:space="0" w:color="auto"/>
        <w:right w:val="none" w:sz="0" w:space="0" w:color="auto"/>
      </w:divBdr>
      <w:divsChild>
        <w:div w:id="1251431097">
          <w:marLeft w:val="0"/>
          <w:marRight w:val="0"/>
          <w:marTop w:val="150"/>
          <w:marBottom w:val="150"/>
          <w:divBdr>
            <w:top w:val="none" w:sz="0" w:space="0" w:color="auto"/>
            <w:left w:val="none" w:sz="0" w:space="0" w:color="auto"/>
            <w:bottom w:val="single" w:sz="6" w:space="0" w:color="CCCCCC"/>
            <w:right w:val="none" w:sz="0" w:space="0" w:color="auto"/>
          </w:divBdr>
          <w:divsChild>
            <w:div w:id="1118529605">
              <w:marLeft w:val="0"/>
              <w:marRight w:val="0"/>
              <w:marTop w:val="0"/>
              <w:marBottom w:val="0"/>
              <w:divBdr>
                <w:top w:val="none" w:sz="0" w:space="0" w:color="auto"/>
                <w:left w:val="none" w:sz="0" w:space="0" w:color="auto"/>
                <w:bottom w:val="none" w:sz="0" w:space="0" w:color="auto"/>
                <w:right w:val="none" w:sz="0" w:space="0" w:color="auto"/>
              </w:divBdr>
            </w:div>
          </w:divsChild>
        </w:div>
        <w:div w:id="1336759927">
          <w:marLeft w:val="0"/>
          <w:marRight w:val="0"/>
          <w:marTop w:val="0"/>
          <w:marBottom w:val="0"/>
          <w:divBdr>
            <w:top w:val="none" w:sz="0" w:space="0" w:color="auto"/>
            <w:left w:val="none" w:sz="0" w:space="0" w:color="auto"/>
            <w:bottom w:val="none" w:sz="0" w:space="0" w:color="auto"/>
            <w:right w:val="none" w:sz="0" w:space="0" w:color="auto"/>
          </w:divBdr>
          <w:divsChild>
            <w:div w:id="886910255">
              <w:marLeft w:val="75"/>
              <w:marRight w:val="150"/>
              <w:marTop w:val="45"/>
              <w:marBottom w:val="75"/>
              <w:divBdr>
                <w:top w:val="none" w:sz="0" w:space="0" w:color="auto"/>
                <w:left w:val="none" w:sz="0" w:space="0" w:color="auto"/>
                <w:bottom w:val="none" w:sz="0" w:space="0" w:color="auto"/>
                <w:right w:val="none" w:sz="0" w:space="0" w:color="auto"/>
              </w:divBdr>
            </w:div>
            <w:div w:id="107552506">
              <w:marLeft w:val="300"/>
              <w:marRight w:val="150"/>
              <w:marTop w:val="75"/>
              <w:marBottom w:val="0"/>
              <w:divBdr>
                <w:top w:val="none" w:sz="0" w:space="0" w:color="auto"/>
                <w:left w:val="none" w:sz="0" w:space="0" w:color="auto"/>
                <w:bottom w:val="none" w:sz="0" w:space="0" w:color="auto"/>
                <w:right w:val="none" w:sz="0" w:space="0" w:color="auto"/>
              </w:divBdr>
            </w:div>
            <w:div w:id="1912353017">
              <w:marLeft w:val="300"/>
              <w:marRight w:val="150"/>
              <w:marTop w:val="75"/>
              <w:marBottom w:val="0"/>
              <w:divBdr>
                <w:top w:val="none" w:sz="0" w:space="0" w:color="auto"/>
                <w:left w:val="none" w:sz="0" w:space="0" w:color="auto"/>
                <w:bottom w:val="none" w:sz="0" w:space="0" w:color="auto"/>
                <w:right w:val="none" w:sz="0" w:space="0" w:color="auto"/>
              </w:divBdr>
            </w:div>
          </w:divsChild>
        </w:div>
        <w:div w:id="703015570">
          <w:marLeft w:val="0"/>
          <w:marRight w:val="0"/>
          <w:marTop w:val="75"/>
          <w:marBottom w:val="150"/>
          <w:divBdr>
            <w:top w:val="none" w:sz="0" w:space="0" w:color="auto"/>
            <w:left w:val="none" w:sz="0" w:space="0" w:color="auto"/>
            <w:bottom w:val="none" w:sz="0" w:space="0" w:color="auto"/>
            <w:right w:val="none" w:sz="0" w:space="0" w:color="auto"/>
          </w:divBdr>
          <w:divsChild>
            <w:div w:id="791171896">
              <w:marLeft w:val="0"/>
              <w:marRight w:val="0"/>
              <w:marTop w:val="45"/>
              <w:marBottom w:val="0"/>
              <w:divBdr>
                <w:top w:val="none" w:sz="0" w:space="0" w:color="auto"/>
                <w:left w:val="single" w:sz="48" w:space="0" w:color="FFFFFF"/>
                <w:bottom w:val="single" w:sz="48" w:space="0" w:color="FFFFFF"/>
                <w:right w:val="none" w:sz="0" w:space="0" w:color="auto"/>
              </w:divBdr>
              <w:divsChild>
                <w:div w:id="43059176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695885369">
      <w:bodyDiv w:val="1"/>
      <w:marLeft w:val="0"/>
      <w:marRight w:val="0"/>
      <w:marTop w:val="0"/>
      <w:marBottom w:val="0"/>
      <w:divBdr>
        <w:top w:val="none" w:sz="0" w:space="0" w:color="auto"/>
        <w:left w:val="none" w:sz="0" w:space="0" w:color="auto"/>
        <w:bottom w:val="none" w:sz="0" w:space="0" w:color="auto"/>
        <w:right w:val="none" w:sz="0" w:space="0" w:color="auto"/>
      </w:divBdr>
      <w:divsChild>
        <w:div w:id="1116021871">
          <w:marLeft w:val="0"/>
          <w:marRight w:val="0"/>
          <w:marTop w:val="150"/>
          <w:marBottom w:val="150"/>
          <w:divBdr>
            <w:top w:val="none" w:sz="0" w:space="0" w:color="auto"/>
            <w:left w:val="none" w:sz="0" w:space="0" w:color="auto"/>
            <w:bottom w:val="single" w:sz="6" w:space="0" w:color="CCCCCC"/>
            <w:right w:val="none" w:sz="0" w:space="0" w:color="auto"/>
          </w:divBdr>
          <w:divsChild>
            <w:div w:id="763914666">
              <w:marLeft w:val="0"/>
              <w:marRight w:val="0"/>
              <w:marTop w:val="0"/>
              <w:marBottom w:val="0"/>
              <w:divBdr>
                <w:top w:val="none" w:sz="0" w:space="0" w:color="auto"/>
                <w:left w:val="none" w:sz="0" w:space="0" w:color="auto"/>
                <w:bottom w:val="none" w:sz="0" w:space="0" w:color="auto"/>
                <w:right w:val="none" w:sz="0" w:space="0" w:color="auto"/>
              </w:divBdr>
            </w:div>
          </w:divsChild>
        </w:div>
        <w:div w:id="1105886325">
          <w:marLeft w:val="0"/>
          <w:marRight w:val="0"/>
          <w:marTop w:val="0"/>
          <w:marBottom w:val="0"/>
          <w:divBdr>
            <w:top w:val="none" w:sz="0" w:space="0" w:color="auto"/>
            <w:left w:val="none" w:sz="0" w:space="0" w:color="auto"/>
            <w:bottom w:val="none" w:sz="0" w:space="0" w:color="auto"/>
            <w:right w:val="none" w:sz="0" w:space="0" w:color="auto"/>
          </w:divBdr>
          <w:divsChild>
            <w:div w:id="1384908453">
              <w:marLeft w:val="75"/>
              <w:marRight w:val="150"/>
              <w:marTop w:val="45"/>
              <w:marBottom w:val="75"/>
              <w:divBdr>
                <w:top w:val="none" w:sz="0" w:space="0" w:color="auto"/>
                <w:left w:val="none" w:sz="0" w:space="0" w:color="auto"/>
                <w:bottom w:val="none" w:sz="0" w:space="0" w:color="auto"/>
                <w:right w:val="none" w:sz="0" w:space="0" w:color="auto"/>
              </w:divBdr>
            </w:div>
            <w:div w:id="2002351595">
              <w:marLeft w:val="300"/>
              <w:marRight w:val="150"/>
              <w:marTop w:val="75"/>
              <w:marBottom w:val="0"/>
              <w:divBdr>
                <w:top w:val="none" w:sz="0" w:space="0" w:color="auto"/>
                <w:left w:val="none" w:sz="0" w:space="0" w:color="auto"/>
                <w:bottom w:val="none" w:sz="0" w:space="0" w:color="auto"/>
                <w:right w:val="none" w:sz="0" w:space="0" w:color="auto"/>
              </w:divBdr>
            </w:div>
            <w:div w:id="1960337550">
              <w:marLeft w:val="300"/>
              <w:marRight w:val="150"/>
              <w:marTop w:val="75"/>
              <w:marBottom w:val="0"/>
              <w:divBdr>
                <w:top w:val="none" w:sz="0" w:space="0" w:color="auto"/>
                <w:left w:val="none" w:sz="0" w:space="0" w:color="auto"/>
                <w:bottom w:val="none" w:sz="0" w:space="0" w:color="auto"/>
                <w:right w:val="none" w:sz="0" w:space="0" w:color="auto"/>
              </w:divBdr>
            </w:div>
          </w:divsChild>
        </w:div>
        <w:div w:id="1943563928">
          <w:marLeft w:val="0"/>
          <w:marRight w:val="0"/>
          <w:marTop w:val="75"/>
          <w:marBottom w:val="150"/>
          <w:divBdr>
            <w:top w:val="none" w:sz="0" w:space="0" w:color="auto"/>
            <w:left w:val="none" w:sz="0" w:space="0" w:color="auto"/>
            <w:bottom w:val="none" w:sz="0" w:space="0" w:color="auto"/>
            <w:right w:val="none" w:sz="0" w:space="0" w:color="auto"/>
          </w:divBdr>
          <w:divsChild>
            <w:div w:id="1131292068">
              <w:marLeft w:val="0"/>
              <w:marRight w:val="0"/>
              <w:marTop w:val="45"/>
              <w:marBottom w:val="0"/>
              <w:divBdr>
                <w:top w:val="none" w:sz="0" w:space="0" w:color="auto"/>
                <w:left w:val="single" w:sz="48" w:space="0" w:color="FFFFFF"/>
                <w:bottom w:val="single" w:sz="48" w:space="0" w:color="FFFFFF"/>
                <w:right w:val="none" w:sz="0" w:space="0" w:color="auto"/>
              </w:divBdr>
              <w:divsChild>
                <w:div w:id="1250768668">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736736132">
      <w:bodyDiv w:val="1"/>
      <w:marLeft w:val="0"/>
      <w:marRight w:val="0"/>
      <w:marTop w:val="0"/>
      <w:marBottom w:val="0"/>
      <w:divBdr>
        <w:top w:val="none" w:sz="0" w:space="0" w:color="auto"/>
        <w:left w:val="none" w:sz="0" w:space="0" w:color="auto"/>
        <w:bottom w:val="none" w:sz="0" w:space="0" w:color="auto"/>
        <w:right w:val="none" w:sz="0" w:space="0" w:color="auto"/>
      </w:divBdr>
      <w:divsChild>
        <w:div w:id="932399710">
          <w:marLeft w:val="0"/>
          <w:marRight w:val="0"/>
          <w:marTop w:val="150"/>
          <w:marBottom w:val="150"/>
          <w:divBdr>
            <w:top w:val="none" w:sz="0" w:space="0" w:color="auto"/>
            <w:left w:val="none" w:sz="0" w:space="0" w:color="auto"/>
            <w:bottom w:val="single" w:sz="6" w:space="0" w:color="CCCCCC"/>
            <w:right w:val="none" w:sz="0" w:space="0" w:color="auto"/>
          </w:divBdr>
          <w:divsChild>
            <w:div w:id="364334177">
              <w:marLeft w:val="0"/>
              <w:marRight w:val="0"/>
              <w:marTop w:val="0"/>
              <w:marBottom w:val="0"/>
              <w:divBdr>
                <w:top w:val="none" w:sz="0" w:space="0" w:color="auto"/>
                <w:left w:val="none" w:sz="0" w:space="0" w:color="auto"/>
                <w:bottom w:val="none" w:sz="0" w:space="0" w:color="auto"/>
                <w:right w:val="none" w:sz="0" w:space="0" w:color="auto"/>
              </w:divBdr>
            </w:div>
          </w:divsChild>
        </w:div>
        <w:div w:id="1830435863">
          <w:marLeft w:val="0"/>
          <w:marRight w:val="0"/>
          <w:marTop w:val="0"/>
          <w:marBottom w:val="0"/>
          <w:divBdr>
            <w:top w:val="none" w:sz="0" w:space="0" w:color="auto"/>
            <w:left w:val="none" w:sz="0" w:space="0" w:color="auto"/>
            <w:bottom w:val="none" w:sz="0" w:space="0" w:color="auto"/>
            <w:right w:val="none" w:sz="0" w:space="0" w:color="auto"/>
          </w:divBdr>
          <w:divsChild>
            <w:div w:id="346368368">
              <w:marLeft w:val="75"/>
              <w:marRight w:val="150"/>
              <w:marTop w:val="45"/>
              <w:marBottom w:val="75"/>
              <w:divBdr>
                <w:top w:val="none" w:sz="0" w:space="0" w:color="auto"/>
                <w:left w:val="none" w:sz="0" w:space="0" w:color="auto"/>
                <w:bottom w:val="none" w:sz="0" w:space="0" w:color="auto"/>
                <w:right w:val="none" w:sz="0" w:space="0" w:color="auto"/>
              </w:divBdr>
            </w:div>
            <w:div w:id="1062481977">
              <w:marLeft w:val="300"/>
              <w:marRight w:val="150"/>
              <w:marTop w:val="75"/>
              <w:marBottom w:val="0"/>
              <w:divBdr>
                <w:top w:val="none" w:sz="0" w:space="0" w:color="auto"/>
                <w:left w:val="none" w:sz="0" w:space="0" w:color="auto"/>
                <w:bottom w:val="none" w:sz="0" w:space="0" w:color="auto"/>
                <w:right w:val="none" w:sz="0" w:space="0" w:color="auto"/>
              </w:divBdr>
            </w:div>
            <w:div w:id="69886779">
              <w:marLeft w:val="300"/>
              <w:marRight w:val="150"/>
              <w:marTop w:val="75"/>
              <w:marBottom w:val="0"/>
              <w:divBdr>
                <w:top w:val="none" w:sz="0" w:space="0" w:color="auto"/>
                <w:left w:val="none" w:sz="0" w:space="0" w:color="auto"/>
                <w:bottom w:val="none" w:sz="0" w:space="0" w:color="auto"/>
                <w:right w:val="none" w:sz="0" w:space="0" w:color="auto"/>
              </w:divBdr>
            </w:div>
          </w:divsChild>
        </w:div>
        <w:div w:id="1200556235">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docenti/secondo-ciclo/le-faq-della-flc-cgil-per-comprendere-le-conseguenze-della-filiera-tecnologico-professionale.flc" TargetMode="External"/><Relationship Id="rId13" Type="http://schemas.openxmlformats.org/officeDocument/2006/relationships/hyperlink" Target="https://www.flcgil.it/scuola/docenti/secondo-ciclo/filiera-tecnologico-professionale-e-liceo-del-made-in-italy-due-flop-annunciati.flc" TargetMode="External"/><Relationship Id="rId18" Type="http://schemas.openxmlformats.org/officeDocument/2006/relationships/hyperlink" Target="https://www.flcgil.it/leggi-normative/documenti/circolari-ministeriali/circolare-ministeriale-115135-del-25-luglio-2024-istruzioni-e-indicazioni-operative-supplenze-scuola-as-2024-25.fl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lcgil.it/scuola/il-ministro-valditara-forza-e-per-decreto-attiva-la-sperimentazione-della-filiera-formativa-tecnologico-professionale.flc" TargetMode="External"/><Relationship Id="rId12" Type="http://schemas.openxmlformats.org/officeDocument/2006/relationships/hyperlink" Target="https://www.flcgil.it/scuola/istituzione-della-filiera-formativa-tecnologico-professionale-consegnate-alla-vii-commissione-della-camera-dei-deputati-le-memorie-con-le-valutazioni-della-flc.flc" TargetMode="External"/><Relationship Id="rId17" Type="http://schemas.openxmlformats.org/officeDocument/2006/relationships/hyperlink" Target="https://www.flcgil.it/leggi-normative/documenti/decreti-ministeriali/decreto-ministeriale-113-del-6-giugno-2024-percorso-di-formazione-triennale-incentivata-docenti.flc" TargetMode="External"/><Relationship Id="rId2" Type="http://schemas.openxmlformats.org/officeDocument/2006/relationships/styles" Target="styles.xml"/><Relationship Id="rId16" Type="http://schemas.openxmlformats.org/officeDocument/2006/relationships/hyperlink" Target="https://www.flcgil.it/leggi-normative/documenti/note-ministeriali/nota-ministeriale-116995-del-29-luglio-2024-disposizioni-percorso-iniziale-primo-ciclo-triennale-formazione-continua.fl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lcgil.it/scuola/il-ministro-valditara-forza-e-per-decreto-attiva-la-sperimentazione-della-filiera-formativa-tecnologico-professionale.flc" TargetMode="External"/><Relationship Id="rId11" Type="http://schemas.openxmlformats.org/officeDocument/2006/relationships/hyperlink" Target="https://www.flcgil.it/files/pdf/20110112/decreto-presidente-del-consiglio-dei-ministri-del-25-gennaio-2008-linee-guida-istituti-tecnici.pdf" TargetMode="External"/><Relationship Id="rId5" Type="http://schemas.openxmlformats.org/officeDocument/2006/relationships/hyperlink" Target="https://www.flcgil.it/leggi-normative/documenti/disegni-di-legge/disegno-di-legge-1691-del-31-luglio-2024-istituzione-filiera-formativa-tecnologico-professionale.flc" TargetMode="External"/><Relationship Id="rId15" Type="http://schemas.openxmlformats.org/officeDocument/2006/relationships/hyperlink" Target="https://www.flcgil.it/scuola/incontro-con-il-ministro-valditara-no-a-nuovi-concorsi-in-presenza-di-aspiranti-che-hanno-superato-precedenti-procedure-selettive.flc" TargetMode="External"/><Relationship Id="rId10" Type="http://schemas.openxmlformats.org/officeDocument/2006/relationships/hyperlink" Target="https://www.flcgil.it/attualita/formazione-lavoro/ifts-its-pon/pnrr-pubblicata-in-gazzetta-ufficiale-la-riforma-degli-its.flc" TargetMode="External"/><Relationship Id="rId19" Type="http://schemas.openxmlformats.org/officeDocument/2006/relationships/hyperlink" Target="https://www.flcgil.it/leggi-normative/documenti/note-ministeriali/nota-118635-del-31-luglio-2024-istruzioni-e-indicazioni-operative-supplenze-personale-docente-educativo-e-ata-integrazione-e-rettifica.flc" TargetMode="External"/><Relationship Id="rId4" Type="http://schemas.openxmlformats.org/officeDocument/2006/relationships/webSettings" Target="webSettings.xml"/><Relationship Id="rId9" Type="http://schemas.openxmlformats.org/officeDocument/2006/relationships/hyperlink" Target="https://www.flcgil.it/scuola/sperimentazione-filiera-formativa-tecnologico-professionale-cspi-boccia-provvedimento.flc" TargetMode="External"/><Relationship Id="rId14" Type="http://schemas.openxmlformats.org/officeDocument/2006/relationships/hyperlink" Target="https://www.flcgil.it/scuola/precari/assunzioni-2024-25-possibili-solo-45-mila-immissioni-su-62-mila-cattedre-vacanti-concorsi-pnrr-ancora-svolgimento-nomine-andranno-avanti-fino-dicembre.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3114</Words>
  <Characters>17755</Characters>
  <Application>Microsoft Office Word</Application>
  <DocSecurity>0</DocSecurity>
  <Lines>147</Lines>
  <Paragraphs>41</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2024-08-04T06:49:00Z</dcterms:created>
  <dcterms:modified xsi:type="dcterms:W3CDTF">2024-08-04T06:49:00Z</dcterms:modified>
</cp:coreProperties>
</file>