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ADD8" w14:textId="77777777" w:rsidR="006A558C" w:rsidRPr="006A558C" w:rsidRDefault="006A558C" w:rsidP="006A558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A558C">
        <w:rPr>
          <w:rFonts w:ascii="Tahoma" w:eastAsia="Times New Roman" w:hAnsi="Tahoma" w:cs="Tahoma"/>
          <w:color w:val="DC3B33"/>
          <w:kern w:val="36"/>
          <w:sz w:val="45"/>
          <w:szCs w:val="45"/>
          <w:lang w:eastAsia="it-IT"/>
          <w14:ligatures w14:val="none"/>
        </w:rPr>
        <w:t>Fracassi: Governo millanta aumenti stratosferici degli stipendi, ma investe solo un terzo del dovuto</w:t>
      </w:r>
    </w:p>
    <w:p w14:paraId="383DE361" w14:textId="77777777" w:rsidR="006A558C" w:rsidRPr="006A558C" w:rsidRDefault="006A558C" w:rsidP="006A558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A558C">
        <w:rPr>
          <w:rFonts w:ascii="Arial" w:eastAsia="Times New Roman" w:hAnsi="Arial" w:cs="Arial"/>
          <w:color w:val="535353"/>
          <w:kern w:val="0"/>
          <w:sz w:val="27"/>
          <w:szCs w:val="27"/>
          <w:lang w:eastAsia="it-IT"/>
          <w14:ligatures w14:val="none"/>
        </w:rPr>
        <w:t>Comunicato stampa della Federazione Lavoratori della Conoscenza CGIL</w:t>
      </w:r>
    </w:p>
    <w:p w14:paraId="3948C4A6" w14:textId="77777777" w:rsidR="006A558C" w:rsidRPr="006A558C" w:rsidRDefault="006A558C" w:rsidP="006A558C">
      <w:pPr>
        <w:shd w:val="clear" w:color="auto" w:fill="FFFFFF"/>
        <w:spacing w:after="0" w:line="240" w:lineRule="auto"/>
        <w:rPr>
          <w:rFonts w:ascii="Arial" w:eastAsia="Times New Roman" w:hAnsi="Arial" w:cs="Arial"/>
          <w:color w:val="4D4D4D"/>
          <w:kern w:val="0"/>
          <w:sz w:val="21"/>
          <w:szCs w:val="21"/>
          <w:lang w:eastAsia="it-IT"/>
          <w14:ligatures w14:val="none"/>
        </w:rPr>
      </w:pPr>
      <w:r w:rsidRPr="006A558C">
        <w:rPr>
          <w:rFonts w:ascii="Arial" w:eastAsia="Times New Roman" w:hAnsi="Arial" w:cs="Arial"/>
          <w:b/>
          <w:bCs/>
          <w:color w:val="4D4D4D"/>
          <w:kern w:val="0"/>
          <w:sz w:val="21"/>
          <w:szCs w:val="21"/>
          <w:lang w:eastAsia="it-IT"/>
          <w14:ligatures w14:val="none"/>
        </w:rPr>
        <w:t>12/09/2024</w:t>
      </w:r>
    </w:p>
    <w:p w14:paraId="37BAEE1F" w14:textId="77777777" w:rsidR="006A558C" w:rsidRDefault="006A558C" w:rsidP="006A558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1538A05" w14:textId="21AE5335" w:rsidR="006A558C" w:rsidRPr="006A558C" w:rsidRDefault="006A558C" w:rsidP="006A558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A558C">
        <w:rPr>
          <w:rFonts w:ascii="Arial" w:eastAsia="Times New Roman" w:hAnsi="Arial" w:cs="Arial"/>
          <w:color w:val="000000"/>
          <w:kern w:val="0"/>
          <w:sz w:val="21"/>
          <w:szCs w:val="21"/>
          <w:lang w:eastAsia="it-IT"/>
          <w14:ligatures w14:val="none"/>
        </w:rPr>
        <w:t>Roma 12 settembre – “Assistiamo a continue e roboanti dichiarazioni del Governo circa aumenti stratosferici per il personale della scuola, dell’università, della ricerca e dell’Afam, tali da allineare gli stipendi a quelli europei. Niente di più lontano dalla verità”. Così </w:t>
      </w:r>
      <w:r w:rsidRPr="006A558C">
        <w:rPr>
          <w:rFonts w:ascii="Arial" w:eastAsia="Times New Roman" w:hAnsi="Arial" w:cs="Arial"/>
          <w:b/>
          <w:bCs/>
          <w:color w:val="000000"/>
          <w:kern w:val="0"/>
          <w:sz w:val="21"/>
          <w:szCs w:val="21"/>
          <w:lang w:eastAsia="it-IT"/>
          <w14:ligatures w14:val="none"/>
        </w:rPr>
        <w:t>Gianna Fracassi</w:t>
      </w:r>
      <w:r w:rsidRPr="006A558C">
        <w:rPr>
          <w:rFonts w:ascii="Arial" w:eastAsia="Times New Roman" w:hAnsi="Arial" w:cs="Arial"/>
          <w:color w:val="000000"/>
          <w:kern w:val="0"/>
          <w:sz w:val="21"/>
          <w:szCs w:val="21"/>
          <w:lang w:eastAsia="it-IT"/>
          <w14:ligatures w14:val="none"/>
        </w:rPr>
        <w:t>, segretaria generale della FLC CGIL.  </w:t>
      </w:r>
      <w:r w:rsidRPr="006A558C">
        <w:rPr>
          <w:rFonts w:ascii="Arial" w:eastAsia="Times New Roman" w:hAnsi="Arial" w:cs="Arial"/>
          <w:color w:val="000000"/>
          <w:kern w:val="0"/>
          <w:sz w:val="21"/>
          <w:szCs w:val="21"/>
          <w:lang w:eastAsia="it-IT"/>
          <w14:ligatures w14:val="none"/>
        </w:rPr>
        <w:br/>
      </w:r>
      <w:r w:rsidRPr="006A558C">
        <w:rPr>
          <w:rFonts w:ascii="Arial" w:eastAsia="Times New Roman" w:hAnsi="Arial" w:cs="Arial"/>
          <w:color w:val="000000"/>
          <w:kern w:val="0"/>
          <w:sz w:val="21"/>
          <w:szCs w:val="21"/>
          <w:lang w:eastAsia="it-IT"/>
          <w14:ligatures w14:val="none"/>
        </w:rPr>
        <w:br/>
        <w:t>“Il Contratto istruzione e ricerca è scaduto da due anni e le ultime leggi di bilancio hanno stanziato risorse di gran lunga al di sotto rispetto all’inflazione maturata nel triennio di riferimento. Infatti - continua la leader sindacale -, a fronte di un’inflazione reale di circa il 18%, i finanziamenti previsti comportano aumenti pari al solo 5,78%, con un differenziale di oltre il 10% rispetto a quanto necessario a garantire la piena tutela delle retribuzioni del personale e a mantenere lo stesso potere d’acquisto. E ciò avviene con un’inaccettabile disparità di trattamento economico con gli altri settori della pubblica amministrazione, pari a circa il 18% in meno”.</w:t>
      </w:r>
      <w:r w:rsidRPr="006A558C">
        <w:rPr>
          <w:rFonts w:ascii="Arial" w:eastAsia="Times New Roman" w:hAnsi="Arial" w:cs="Arial"/>
          <w:color w:val="000000"/>
          <w:kern w:val="0"/>
          <w:sz w:val="21"/>
          <w:szCs w:val="21"/>
          <w:lang w:eastAsia="it-IT"/>
          <w14:ligatures w14:val="none"/>
        </w:rPr>
        <w:br/>
      </w:r>
      <w:r w:rsidRPr="006A558C">
        <w:rPr>
          <w:rFonts w:ascii="Arial" w:eastAsia="Times New Roman" w:hAnsi="Arial" w:cs="Arial"/>
          <w:color w:val="000000"/>
          <w:kern w:val="0"/>
          <w:sz w:val="21"/>
          <w:szCs w:val="21"/>
          <w:lang w:eastAsia="it-IT"/>
          <w14:ligatures w14:val="none"/>
        </w:rPr>
        <w:br/>
        <w:t>“Anche gli ultimi dati Ocse – </w:t>
      </w:r>
      <w:r w:rsidRPr="006A558C">
        <w:rPr>
          <w:rFonts w:ascii="Arial" w:eastAsia="Times New Roman" w:hAnsi="Arial" w:cs="Arial"/>
          <w:i/>
          <w:iCs/>
          <w:color w:val="000000"/>
          <w:kern w:val="0"/>
          <w:sz w:val="21"/>
          <w:szCs w:val="21"/>
          <w:lang w:eastAsia="it-IT"/>
          <w14:ligatures w14:val="none"/>
        </w:rPr>
        <w:t>Education at glance 2024</w:t>
      </w:r>
      <w:r w:rsidRPr="006A558C">
        <w:rPr>
          <w:rFonts w:ascii="Arial" w:eastAsia="Times New Roman" w:hAnsi="Arial" w:cs="Arial"/>
          <w:color w:val="000000"/>
          <w:kern w:val="0"/>
          <w:sz w:val="21"/>
          <w:szCs w:val="21"/>
          <w:lang w:eastAsia="it-IT"/>
          <w14:ligatures w14:val="none"/>
        </w:rPr>
        <w:t> confermano che le retribuzioni italiane sono le più basse della media UE in tutti i gradi di scuola”. Sottolinea Fracassi.</w:t>
      </w:r>
      <w:r w:rsidRPr="006A558C">
        <w:rPr>
          <w:rFonts w:ascii="Arial" w:eastAsia="Times New Roman" w:hAnsi="Arial" w:cs="Arial"/>
          <w:color w:val="000000"/>
          <w:kern w:val="0"/>
          <w:sz w:val="21"/>
          <w:szCs w:val="21"/>
          <w:lang w:eastAsia="it-IT"/>
          <w14:ligatures w14:val="none"/>
        </w:rPr>
        <w:br/>
      </w:r>
      <w:r w:rsidRPr="006A558C">
        <w:rPr>
          <w:rFonts w:ascii="Arial" w:eastAsia="Times New Roman" w:hAnsi="Arial" w:cs="Arial"/>
          <w:color w:val="000000"/>
          <w:kern w:val="0"/>
          <w:sz w:val="21"/>
          <w:szCs w:val="21"/>
          <w:lang w:eastAsia="it-IT"/>
          <w14:ligatures w14:val="none"/>
        </w:rPr>
        <w:br/>
        <w:t> “Come FLC CGIL, in vista dell’approvazione della Legge di Bilancio 2025, chiediamo risorse aggiuntive per rispondere all’inflazione del triennio e valorizzare, in modo sostanziale, i settori della conoscenza. Se ciò non dovesse accadere, organizzeremo iniziative di mobilitazione generale”. Conclude la nota.</w:t>
      </w:r>
    </w:p>
    <w:p w14:paraId="632C79F5" w14:textId="77777777" w:rsidR="002024FB" w:rsidRPr="002024FB" w:rsidRDefault="002024FB" w:rsidP="002024F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2024FB">
        <w:rPr>
          <w:rFonts w:ascii="Tahoma" w:eastAsia="Times New Roman" w:hAnsi="Tahoma" w:cs="Tahoma"/>
          <w:color w:val="DC3B33"/>
          <w:kern w:val="36"/>
          <w:sz w:val="45"/>
          <w:szCs w:val="45"/>
          <w:lang w:eastAsia="it-IT"/>
          <w14:ligatures w14:val="none"/>
        </w:rPr>
        <w:t>Filiera formativa tecnologico-professionale: fatta la legge, ma decide il collegio</w:t>
      </w:r>
    </w:p>
    <w:p w14:paraId="3C4F8817" w14:textId="77777777" w:rsidR="002024FB" w:rsidRPr="002024FB" w:rsidRDefault="002024FB" w:rsidP="002024F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2024FB">
        <w:rPr>
          <w:rFonts w:ascii="Arial" w:eastAsia="Times New Roman" w:hAnsi="Arial" w:cs="Arial"/>
          <w:color w:val="535353"/>
          <w:kern w:val="0"/>
          <w:sz w:val="27"/>
          <w:szCs w:val="27"/>
          <w:lang w:eastAsia="it-IT"/>
          <w14:ligatures w14:val="none"/>
        </w:rPr>
        <w:t>Dopo l’approvazione della legge 121/24, la FLC CGIL lancia un appello al personale della scuola perché eserciti il protagonismo degli organi collegiali come baluardo a difesa della scuola della Costituzione</w:t>
      </w:r>
    </w:p>
    <w:p w14:paraId="5224BD43" w14:textId="77777777" w:rsidR="002024FB" w:rsidRPr="002024FB" w:rsidRDefault="002024FB" w:rsidP="002024FB">
      <w:pPr>
        <w:shd w:val="clear" w:color="auto" w:fill="FFFFFF"/>
        <w:spacing w:after="0" w:line="240" w:lineRule="auto"/>
        <w:rPr>
          <w:rFonts w:ascii="Arial" w:eastAsia="Times New Roman" w:hAnsi="Arial" w:cs="Arial"/>
          <w:color w:val="4D4D4D"/>
          <w:kern w:val="0"/>
          <w:sz w:val="21"/>
          <w:szCs w:val="21"/>
          <w:lang w:eastAsia="it-IT"/>
          <w14:ligatures w14:val="none"/>
        </w:rPr>
      </w:pPr>
      <w:r w:rsidRPr="002024FB">
        <w:rPr>
          <w:rFonts w:ascii="Arial" w:eastAsia="Times New Roman" w:hAnsi="Arial" w:cs="Arial"/>
          <w:b/>
          <w:bCs/>
          <w:color w:val="4D4D4D"/>
          <w:kern w:val="0"/>
          <w:sz w:val="21"/>
          <w:szCs w:val="21"/>
          <w:lang w:eastAsia="it-IT"/>
          <w14:ligatures w14:val="none"/>
        </w:rPr>
        <w:t>13/09/2024</w:t>
      </w:r>
    </w:p>
    <w:p w14:paraId="3F824013" w14:textId="77777777" w:rsid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4E07DB6" w14:textId="45BEB067" w:rsidR="002024FB" w:rsidRP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024FB">
        <w:rPr>
          <w:rFonts w:ascii="Arial" w:eastAsia="Times New Roman" w:hAnsi="Arial" w:cs="Arial"/>
          <w:color w:val="000000"/>
          <w:kern w:val="0"/>
          <w:sz w:val="21"/>
          <w:szCs w:val="21"/>
          <w:lang w:eastAsia="it-IT"/>
          <w14:ligatures w14:val="none"/>
        </w:rPr>
        <w:t>Come ormai noto, il 6 settembre scorso è entrata in vigore la </w:t>
      </w:r>
      <w:hyperlink r:id="rId5" w:tgtFrame="_blank" w:history="1">
        <w:r w:rsidRPr="002024FB">
          <w:rPr>
            <w:rFonts w:ascii="Arial" w:eastAsia="Times New Roman" w:hAnsi="Arial" w:cs="Arial"/>
            <w:color w:val="005EB3"/>
            <w:kern w:val="0"/>
            <w:sz w:val="21"/>
            <w:szCs w:val="21"/>
            <w:u w:val="single"/>
            <w:lang w:eastAsia="it-IT"/>
            <w14:ligatures w14:val="none"/>
          </w:rPr>
          <w:t>Legge 121 dell'8 agosto 2024</w:t>
        </w:r>
      </w:hyperlink>
      <w:r w:rsidRPr="002024FB">
        <w:rPr>
          <w:rFonts w:ascii="Arial" w:eastAsia="Times New Roman" w:hAnsi="Arial" w:cs="Arial"/>
          <w:color w:val="000000"/>
          <w:kern w:val="0"/>
          <w:sz w:val="21"/>
          <w:szCs w:val="21"/>
          <w:lang w:eastAsia="it-IT"/>
          <w14:ligatures w14:val="none"/>
        </w:rPr>
        <w:t> con cui si è dato avvio alla </w:t>
      </w:r>
      <w:r w:rsidRPr="002024FB">
        <w:rPr>
          <w:rFonts w:ascii="Arial" w:eastAsia="Times New Roman" w:hAnsi="Arial" w:cs="Arial"/>
          <w:b/>
          <w:bCs/>
          <w:color w:val="000000"/>
          <w:kern w:val="0"/>
          <w:sz w:val="21"/>
          <w:szCs w:val="21"/>
          <w:lang w:eastAsia="it-IT"/>
          <w14:ligatures w14:val="none"/>
        </w:rPr>
        <w:t>“Istituzione della filiera formativa tecnologico-professionale”</w:t>
      </w:r>
      <w:r w:rsidRPr="002024FB">
        <w:rPr>
          <w:rFonts w:ascii="Arial" w:eastAsia="Times New Roman" w:hAnsi="Arial" w:cs="Arial"/>
          <w:color w:val="000000"/>
          <w:kern w:val="0"/>
          <w:sz w:val="21"/>
          <w:szCs w:val="21"/>
          <w:lang w:eastAsia="it-IT"/>
          <w14:ligatures w14:val="none"/>
        </w:rPr>
        <w:t>. Si tratta di </w:t>
      </w:r>
      <w:r w:rsidRPr="002024FB">
        <w:rPr>
          <w:rFonts w:ascii="Arial" w:eastAsia="Times New Roman" w:hAnsi="Arial" w:cs="Arial"/>
          <w:b/>
          <w:bCs/>
          <w:color w:val="000000"/>
          <w:kern w:val="0"/>
          <w:sz w:val="21"/>
          <w:szCs w:val="21"/>
          <w:lang w:eastAsia="it-IT"/>
          <w14:ligatures w14:val="none"/>
        </w:rPr>
        <w:t>un provvedimento che la FLC CGIL ha fortemente avversato</w:t>
      </w:r>
      <w:r w:rsidRPr="002024FB">
        <w:rPr>
          <w:rFonts w:ascii="Arial" w:eastAsia="Times New Roman" w:hAnsi="Arial" w:cs="Arial"/>
          <w:color w:val="000000"/>
          <w:kern w:val="0"/>
          <w:sz w:val="21"/>
          <w:szCs w:val="21"/>
          <w:lang w:eastAsia="it-IT"/>
          <w14:ligatures w14:val="none"/>
        </w:rPr>
        <w:t> sin dai suoi esordi, </w:t>
      </w:r>
      <w:hyperlink r:id="rId6" w:history="1">
        <w:r w:rsidRPr="002024FB">
          <w:rPr>
            <w:rFonts w:ascii="Arial" w:eastAsia="Times New Roman" w:hAnsi="Arial" w:cs="Arial"/>
            <w:color w:val="005EB3"/>
            <w:kern w:val="0"/>
            <w:sz w:val="21"/>
            <w:szCs w:val="21"/>
            <w:u w:val="single"/>
            <w:lang w:eastAsia="it-IT"/>
            <w14:ligatures w14:val="none"/>
          </w:rPr>
          <w:t>insieme alla Confederazione</w:t>
        </w:r>
      </w:hyperlink>
      <w:r w:rsidRPr="002024FB">
        <w:rPr>
          <w:rFonts w:ascii="Arial" w:eastAsia="Times New Roman" w:hAnsi="Arial" w:cs="Arial"/>
          <w:color w:val="000000"/>
          <w:kern w:val="0"/>
          <w:sz w:val="21"/>
          <w:szCs w:val="21"/>
          <w:lang w:eastAsia="it-IT"/>
          <w14:ligatures w14:val="none"/>
        </w:rPr>
        <w:t>.</w:t>
      </w:r>
    </w:p>
    <w:p w14:paraId="03436F69" w14:textId="77777777" w:rsidR="002024FB" w:rsidRP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024FB">
        <w:rPr>
          <w:rFonts w:ascii="Arial" w:eastAsia="Times New Roman" w:hAnsi="Arial" w:cs="Arial"/>
          <w:color w:val="000000"/>
          <w:kern w:val="0"/>
          <w:sz w:val="21"/>
          <w:szCs w:val="21"/>
          <w:lang w:eastAsia="it-IT"/>
          <w14:ligatures w14:val="none"/>
        </w:rPr>
        <w:t>La FLC CGIL ritiene che l’istituzione della filiera formativa tecnologico-professionale apra le porte alla </w:t>
      </w:r>
      <w:hyperlink r:id="rId7" w:tgtFrame="_blank" w:history="1">
        <w:r w:rsidRPr="002024FB">
          <w:rPr>
            <w:rFonts w:ascii="Arial" w:eastAsia="Times New Roman" w:hAnsi="Arial" w:cs="Arial"/>
            <w:b/>
            <w:bCs/>
            <w:color w:val="005EB3"/>
            <w:kern w:val="0"/>
            <w:sz w:val="21"/>
            <w:szCs w:val="21"/>
            <w:u w:val="single"/>
            <w:lang w:eastAsia="it-IT"/>
            <w14:ligatures w14:val="none"/>
          </w:rPr>
          <w:t>regionalizzazione del sistema pubblico di istruzione,</w:t>
        </w:r>
      </w:hyperlink>
      <w:r w:rsidRPr="002024FB">
        <w:rPr>
          <w:rFonts w:ascii="Arial" w:eastAsia="Times New Roman" w:hAnsi="Arial" w:cs="Arial"/>
          <w:color w:val="000000"/>
          <w:kern w:val="0"/>
          <w:sz w:val="21"/>
          <w:szCs w:val="21"/>
          <w:lang w:eastAsia="it-IT"/>
          <w14:ligatures w14:val="none"/>
        </w:rPr>
        <w:t> all’</w:t>
      </w:r>
      <w:r w:rsidRPr="002024FB">
        <w:rPr>
          <w:rFonts w:ascii="Arial" w:eastAsia="Times New Roman" w:hAnsi="Arial" w:cs="Arial"/>
          <w:b/>
          <w:bCs/>
          <w:color w:val="000000"/>
          <w:kern w:val="0"/>
          <w:sz w:val="21"/>
          <w:szCs w:val="21"/>
          <w:lang w:eastAsia="it-IT"/>
          <w14:ligatures w14:val="none"/>
        </w:rPr>
        <w:t>inserimento dei privati anche nella programmazione</w:t>
      </w:r>
      <w:r w:rsidRPr="002024FB">
        <w:rPr>
          <w:rFonts w:ascii="Arial" w:eastAsia="Times New Roman" w:hAnsi="Arial" w:cs="Arial"/>
          <w:color w:val="000000"/>
          <w:kern w:val="0"/>
          <w:sz w:val="21"/>
          <w:szCs w:val="21"/>
          <w:lang w:eastAsia="it-IT"/>
          <w14:ligatures w14:val="none"/>
        </w:rPr>
        <w:t> dell’offerta formativa e, con l’attivazione di percorsi quadriennali, crei una </w:t>
      </w:r>
      <w:r w:rsidRPr="002024FB">
        <w:rPr>
          <w:rFonts w:ascii="Arial" w:eastAsia="Times New Roman" w:hAnsi="Arial" w:cs="Arial"/>
          <w:b/>
          <w:bCs/>
          <w:color w:val="000000"/>
          <w:kern w:val="0"/>
          <w:sz w:val="21"/>
          <w:szCs w:val="21"/>
          <w:lang w:eastAsia="it-IT"/>
          <w14:ligatures w14:val="none"/>
        </w:rPr>
        <w:t>formazione di ridotta qualità</w:t>
      </w:r>
      <w:r w:rsidRPr="002024FB">
        <w:rPr>
          <w:rFonts w:ascii="Arial" w:eastAsia="Times New Roman" w:hAnsi="Arial" w:cs="Arial"/>
          <w:color w:val="000000"/>
          <w:kern w:val="0"/>
          <w:sz w:val="21"/>
          <w:szCs w:val="21"/>
          <w:lang w:eastAsia="it-IT"/>
          <w14:ligatures w14:val="none"/>
        </w:rPr>
        <w:t> (meno ore di didattica generale e più ore di PCTO e apprendistato anticipati a quindici anni) con il rischio serio che si crei una </w:t>
      </w:r>
      <w:r w:rsidRPr="002024FB">
        <w:rPr>
          <w:rFonts w:ascii="Arial" w:eastAsia="Times New Roman" w:hAnsi="Arial" w:cs="Arial"/>
          <w:b/>
          <w:bCs/>
          <w:color w:val="000000"/>
          <w:kern w:val="0"/>
          <w:sz w:val="21"/>
          <w:szCs w:val="21"/>
          <w:lang w:eastAsia="it-IT"/>
          <w14:ligatures w14:val="none"/>
        </w:rPr>
        <w:t>confusione di ruoli e responsabilità tra scuole autonome e Regioni </w:t>
      </w:r>
      <w:r w:rsidRPr="002024FB">
        <w:rPr>
          <w:rFonts w:ascii="Arial" w:eastAsia="Times New Roman" w:hAnsi="Arial" w:cs="Arial"/>
          <w:color w:val="000000"/>
          <w:kern w:val="0"/>
          <w:sz w:val="21"/>
          <w:szCs w:val="21"/>
          <w:lang w:eastAsia="it-IT"/>
          <w14:ligatures w14:val="none"/>
        </w:rPr>
        <w:t>sulla responsabilità della programmazione dell’offerta formativa.</w:t>
      </w:r>
    </w:p>
    <w:p w14:paraId="4D15BCC7" w14:textId="77777777" w:rsidR="002024FB" w:rsidRP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024FB">
        <w:rPr>
          <w:rFonts w:ascii="Arial" w:eastAsia="Times New Roman" w:hAnsi="Arial" w:cs="Arial"/>
          <w:color w:val="000000"/>
          <w:kern w:val="0"/>
          <w:sz w:val="21"/>
          <w:szCs w:val="21"/>
          <w:lang w:eastAsia="it-IT"/>
          <w14:ligatures w14:val="none"/>
        </w:rPr>
        <w:t>Per questo motivo riteniamo indispensabile che il mondo della scuola manifesti chiaramente l’opposizione a un progetto che apre la strada a riduzione a quattro anni di tutti gli ordinamenti della secondaria di secondo grado. Infatti, in VII Commissione della Camera è depositata la </w:t>
      </w:r>
      <w:r w:rsidRPr="002024FB">
        <w:rPr>
          <w:rFonts w:ascii="Arial" w:eastAsia="Times New Roman" w:hAnsi="Arial" w:cs="Arial"/>
          <w:b/>
          <w:bCs/>
          <w:color w:val="000000"/>
          <w:kern w:val="0"/>
          <w:sz w:val="21"/>
          <w:szCs w:val="21"/>
          <w:lang w:eastAsia="it-IT"/>
          <w14:ligatures w14:val="none"/>
        </w:rPr>
        <w:t>proposta di legge A.C. 1739</w:t>
      </w:r>
      <w:r w:rsidRPr="002024FB">
        <w:rPr>
          <w:rFonts w:ascii="Arial" w:eastAsia="Times New Roman" w:hAnsi="Arial" w:cs="Arial"/>
          <w:color w:val="000000"/>
          <w:kern w:val="0"/>
          <w:sz w:val="21"/>
          <w:szCs w:val="21"/>
          <w:lang w:eastAsia="it-IT"/>
          <w14:ligatures w14:val="none"/>
        </w:rPr>
        <w:t xml:space="preserve"> di </w:t>
      </w:r>
      <w:r w:rsidRPr="002024FB">
        <w:rPr>
          <w:rFonts w:ascii="Arial" w:eastAsia="Times New Roman" w:hAnsi="Arial" w:cs="Arial"/>
          <w:color w:val="000000"/>
          <w:kern w:val="0"/>
          <w:sz w:val="21"/>
          <w:szCs w:val="21"/>
          <w:lang w:eastAsia="it-IT"/>
          <w14:ligatures w14:val="none"/>
        </w:rPr>
        <w:lastRenderedPageBreak/>
        <w:t>Delega al Governo per il parziale riordino del secondo ciclo del sistema educativo di istruzione e formazione </w:t>
      </w:r>
      <w:r w:rsidRPr="002024FB">
        <w:rPr>
          <w:rFonts w:ascii="Arial" w:eastAsia="Times New Roman" w:hAnsi="Arial" w:cs="Arial"/>
          <w:b/>
          <w:bCs/>
          <w:color w:val="000000"/>
          <w:kern w:val="0"/>
          <w:sz w:val="21"/>
          <w:szCs w:val="21"/>
          <w:lang w:eastAsia="it-IT"/>
          <w14:ligatures w14:val="none"/>
        </w:rPr>
        <w:t>con la previsione della durata quadriennale di tutti i corsi di studio</w:t>
      </w:r>
      <w:r w:rsidRPr="002024FB">
        <w:rPr>
          <w:rFonts w:ascii="Arial" w:eastAsia="Times New Roman" w:hAnsi="Arial" w:cs="Arial"/>
          <w:color w:val="000000"/>
          <w:kern w:val="0"/>
          <w:sz w:val="21"/>
          <w:szCs w:val="21"/>
          <w:lang w:eastAsia="it-IT"/>
          <w14:ligatures w14:val="none"/>
        </w:rPr>
        <w:t> </w:t>
      </w:r>
      <w:r w:rsidRPr="002024FB">
        <w:rPr>
          <w:rFonts w:ascii="Arial" w:eastAsia="Times New Roman" w:hAnsi="Arial" w:cs="Arial"/>
          <w:b/>
          <w:bCs/>
          <w:color w:val="000000"/>
          <w:kern w:val="0"/>
          <w:sz w:val="21"/>
          <w:szCs w:val="21"/>
          <w:lang w:eastAsia="it-IT"/>
          <w14:ligatures w14:val="none"/>
        </w:rPr>
        <w:t>del secondo ciclo</w:t>
      </w:r>
      <w:r w:rsidRPr="002024FB">
        <w:rPr>
          <w:rFonts w:ascii="Arial" w:eastAsia="Times New Roman" w:hAnsi="Arial" w:cs="Arial"/>
          <w:color w:val="000000"/>
          <w:kern w:val="0"/>
          <w:sz w:val="21"/>
          <w:szCs w:val="21"/>
          <w:lang w:eastAsia="it-IT"/>
          <w14:ligatures w14:val="none"/>
        </w:rPr>
        <w:t>.</w:t>
      </w:r>
    </w:p>
    <w:p w14:paraId="55F7E986" w14:textId="77777777" w:rsidR="002024FB" w:rsidRP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024FB">
        <w:rPr>
          <w:rFonts w:ascii="Arial" w:eastAsia="Times New Roman" w:hAnsi="Arial" w:cs="Arial"/>
          <w:color w:val="000000"/>
          <w:kern w:val="0"/>
          <w:sz w:val="21"/>
          <w:szCs w:val="21"/>
          <w:lang w:eastAsia="it-IT"/>
          <w14:ligatures w14:val="none"/>
        </w:rPr>
        <w:t>Per tutti questi motivi, come già </w:t>
      </w:r>
      <w:hyperlink r:id="rId8" w:history="1">
        <w:r w:rsidRPr="002024FB">
          <w:rPr>
            <w:rFonts w:ascii="Arial" w:eastAsia="Times New Roman" w:hAnsi="Arial" w:cs="Arial"/>
            <w:color w:val="005EB3"/>
            <w:kern w:val="0"/>
            <w:sz w:val="21"/>
            <w:szCs w:val="21"/>
            <w:u w:val="single"/>
            <w:lang w:eastAsia="it-IT"/>
            <w14:ligatures w14:val="none"/>
          </w:rPr>
          <w:t>riba</w:t>
        </w:r>
        <w:r w:rsidRPr="002024FB">
          <w:rPr>
            <w:rFonts w:ascii="Arial" w:eastAsia="Times New Roman" w:hAnsi="Arial" w:cs="Arial"/>
            <w:color w:val="005EB3"/>
            <w:kern w:val="0"/>
            <w:sz w:val="21"/>
            <w:szCs w:val="21"/>
            <w:u w:val="single"/>
            <w:lang w:eastAsia="it-IT"/>
            <w14:ligatures w14:val="none"/>
          </w:rPr>
          <w:t>d</w:t>
        </w:r>
        <w:r w:rsidRPr="002024FB">
          <w:rPr>
            <w:rFonts w:ascii="Arial" w:eastAsia="Times New Roman" w:hAnsi="Arial" w:cs="Arial"/>
            <w:color w:val="005EB3"/>
            <w:kern w:val="0"/>
            <w:sz w:val="21"/>
            <w:szCs w:val="21"/>
            <w:u w:val="single"/>
            <w:lang w:eastAsia="it-IT"/>
            <w14:ligatures w14:val="none"/>
          </w:rPr>
          <w:t>ito</w:t>
        </w:r>
      </w:hyperlink>
      <w:r w:rsidRPr="002024FB">
        <w:rPr>
          <w:rFonts w:ascii="Arial" w:eastAsia="Times New Roman" w:hAnsi="Arial" w:cs="Arial"/>
          <w:color w:val="000000"/>
          <w:kern w:val="0"/>
          <w:sz w:val="21"/>
          <w:szCs w:val="21"/>
          <w:lang w:eastAsia="it-IT"/>
          <w14:ligatures w14:val="none"/>
        </w:rPr>
        <w:t>, è chiaro che </w:t>
      </w:r>
      <w:r w:rsidRPr="002024FB">
        <w:rPr>
          <w:rFonts w:ascii="Arial" w:eastAsia="Times New Roman" w:hAnsi="Arial" w:cs="Arial"/>
          <w:b/>
          <w:bCs/>
          <w:color w:val="000000"/>
          <w:kern w:val="0"/>
          <w:sz w:val="21"/>
          <w:szCs w:val="21"/>
          <w:lang w:eastAsia="it-IT"/>
          <w14:ligatures w14:val="none"/>
        </w:rPr>
        <w:t>si può dire di NO.</w:t>
      </w:r>
      <w:r w:rsidRPr="002024FB">
        <w:rPr>
          <w:rFonts w:ascii="Arial" w:eastAsia="Times New Roman" w:hAnsi="Arial" w:cs="Arial"/>
          <w:color w:val="000000"/>
          <w:kern w:val="0"/>
          <w:sz w:val="21"/>
          <w:szCs w:val="21"/>
          <w:lang w:eastAsia="it-IT"/>
          <w14:ligatures w14:val="none"/>
        </w:rPr>
        <w:t> Infatti, </w:t>
      </w:r>
      <w:r w:rsidRPr="002024FB">
        <w:rPr>
          <w:rFonts w:ascii="Arial" w:eastAsia="Times New Roman" w:hAnsi="Arial" w:cs="Arial"/>
          <w:b/>
          <w:bCs/>
          <w:color w:val="000000"/>
          <w:kern w:val="0"/>
          <w:sz w:val="21"/>
          <w:szCs w:val="21"/>
          <w:lang w:eastAsia="it-IT"/>
          <w14:ligatures w14:val="none"/>
        </w:rPr>
        <w:t>dopo il </w:t>
      </w:r>
      <w:hyperlink r:id="rId9" w:tgtFrame="_blank" w:history="1">
        <w:r w:rsidRPr="002024FB">
          <w:rPr>
            <w:rFonts w:ascii="Arial" w:eastAsia="Times New Roman" w:hAnsi="Arial" w:cs="Arial"/>
            <w:b/>
            <w:bCs/>
            <w:color w:val="005EB3"/>
            <w:kern w:val="0"/>
            <w:sz w:val="21"/>
            <w:szCs w:val="21"/>
            <w:lang w:eastAsia="it-IT"/>
            <w14:ligatures w14:val="none"/>
          </w:rPr>
          <w:t>fallimentare </w:t>
        </w:r>
      </w:hyperlink>
      <w:r w:rsidRPr="002024FB">
        <w:rPr>
          <w:rFonts w:ascii="Arial" w:eastAsia="Times New Roman" w:hAnsi="Arial" w:cs="Arial"/>
          <w:b/>
          <w:bCs/>
          <w:color w:val="000000"/>
          <w:kern w:val="0"/>
          <w:sz w:val="21"/>
          <w:szCs w:val="21"/>
          <w:lang w:eastAsia="it-IT"/>
          <w14:ligatures w14:val="none"/>
        </w:rPr>
        <w:t>avvio</w:t>
      </w:r>
      <w:r w:rsidRPr="002024FB">
        <w:rPr>
          <w:rFonts w:ascii="Arial" w:eastAsia="Times New Roman" w:hAnsi="Arial" w:cs="Arial"/>
          <w:color w:val="000000"/>
          <w:kern w:val="0"/>
          <w:sz w:val="21"/>
          <w:szCs w:val="21"/>
          <w:lang w:eastAsia="it-IT"/>
          <w14:ligatures w14:val="none"/>
        </w:rPr>
        <w:t> </w:t>
      </w:r>
      <w:r w:rsidRPr="002024FB">
        <w:rPr>
          <w:rFonts w:ascii="Arial" w:eastAsia="Times New Roman" w:hAnsi="Arial" w:cs="Arial"/>
          <w:b/>
          <w:bCs/>
          <w:color w:val="000000"/>
          <w:kern w:val="0"/>
          <w:sz w:val="21"/>
          <w:szCs w:val="21"/>
          <w:lang w:eastAsia="it-IT"/>
          <w14:ligatures w14:val="none"/>
        </w:rPr>
        <w:t xml:space="preserve"> della sperimentazione della filiera nelle iscrizioni per </w:t>
      </w:r>
      <w:proofErr w:type="spellStart"/>
      <w:r w:rsidRPr="002024FB">
        <w:rPr>
          <w:rFonts w:ascii="Arial" w:eastAsia="Times New Roman" w:hAnsi="Arial" w:cs="Arial"/>
          <w:b/>
          <w:bCs/>
          <w:color w:val="000000"/>
          <w:kern w:val="0"/>
          <w:sz w:val="21"/>
          <w:szCs w:val="21"/>
          <w:lang w:eastAsia="it-IT"/>
          <w14:ligatures w14:val="none"/>
        </w:rPr>
        <w:t>l’a.s.</w:t>
      </w:r>
      <w:proofErr w:type="spellEnd"/>
      <w:r w:rsidRPr="002024FB">
        <w:rPr>
          <w:rFonts w:ascii="Arial" w:eastAsia="Times New Roman" w:hAnsi="Arial" w:cs="Arial"/>
          <w:b/>
          <w:bCs/>
          <w:color w:val="000000"/>
          <w:kern w:val="0"/>
          <w:sz w:val="21"/>
          <w:szCs w:val="21"/>
          <w:lang w:eastAsia="it-IT"/>
          <w14:ligatures w14:val="none"/>
        </w:rPr>
        <w:t xml:space="preserve"> 2024/2025, è necessario proseguire con lucidità al rifiuto chiaro e netto di una scuola impoverita dai percorsi quadriennali.</w:t>
      </w:r>
    </w:p>
    <w:p w14:paraId="22C6923F" w14:textId="77777777" w:rsidR="002024FB" w:rsidRPr="002024FB" w:rsidRDefault="002024FB"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024FB">
        <w:rPr>
          <w:rFonts w:ascii="Arial" w:eastAsia="Times New Roman" w:hAnsi="Arial" w:cs="Arial"/>
          <w:color w:val="000000"/>
          <w:kern w:val="0"/>
          <w:sz w:val="21"/>
          <w:szCs w:val="21"/>
          <w:lang w:eastAsia="it-IT"/>
          <w14:ligatures w14:val="none"/>
        </w:rPr>
        <w:t>Come sempre la FLC CGIL sarà al fianco delle scuole, delle studentesse, degli studenti e delle famiglie a tutela del diritto allo studio e della scuola della Costituzione.</w:t>
      </w:r>
    </w:p>
    <w:p w14:paraId="36E54930" w14:textId="3B66C995" w:rsidR="002024FB" w:rsidRPr="002024FB" w:rsidRDefault="0043001D" w:rsidP="002024F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roofErr w:type="gramStart"/>
      <w:r>
        <w:rPr>
          <w:rFonts w:ascii="Arial" w:eastAsia="Times New Roman" w:hAnsi="Arial" w:cs="Arial"/>
          <w:color w:val="000000"/>
          <w:kern w:val="0"/>
          <w:sz w:val="21"/>
          <w:szCs w:val="21"/>
          <w:lang w:eastAsia="it-IT"/>
          <w14:ligatures w14:val="none"/>
        </w:rPr>
        <w:t>E’</w:t>
      </w:r>
      <w:proofErr w:type="gramEnd"/>
      <w:r>
        <w:rPr>
          <w:rFonts w:ascii="Arial" w:eastAsia="Times New Roman" w:hAnsi="Arial" w:cs="Arial"/>
          <w:color w:val="000000"/>
          <w:kern w:val="0"/>
          <w:sz w:val="21"/>
          <w:szCs w:val="21"/>
          <w:lang w:eastAsia="it-IT"/>
          <w14:ligatures w14:val="none"/>
        </w:rPr>
        <w:t xml:space="preserve"> A DISPOSIZIONE UNA NOSTRA BOZZA DI DELIBERA CHE BOCCIA QUETTA POSSIBILITA’ A DIFESA DELLA NOSTRA COSTITUZIONE.</w:t>
      </w:r>
    </w:p>
    <w:p w14:paraId="7EE164BA" w14:textId="77777777" w:rsidR="0043001D" w:rsidRPr="0043001D" w:rsidRDefault="0043001D" w:rsidP="0043001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3001D">
        <w:rPr>
          <w:rFonts w:ascii="Tahoma" w:eastAsia="Times New Roman" w:hAnsi="Tahoma" w:cs="Tahoma"/>
          <w:color w:val="DC3B33"/>
          <w:kern w:val="36"/>
          <w:sz w:val="45"/>
          <w:szCs w:val="45"/>
          <w:lang w:eastAsia="it-IT"/>
          <w14:ligatures w14:val="none"/>
        </w:rPr>
        <w:t xml:space="preserve">Liceo del made in </w:t>
      </w:r>
      <w:proofErr w:type="spellStart"/>
      <w:r w:rsidRPr="0043001D">
        <w:rPr>
          <w:rFonts w:ascii="Tahoma" w:eastAsia="Times New Roman" w:hAnsi="Tahoma" w:cs="Tahoma"/>
          <w:color w:val="DC3B33"/>
          <w:kern w:val="36"/>
          <w:sz w:val="45"/>
          <w:szCs w:val="45"/>
          <w:lang w:eastAsia="it-IT"/>
          <w14:ligatures w14:val="none"/>
        </w:rPr>
        <w:t>Italy</w:t>
      </w:r>
      <w:proofErr w:type="spellEnd"/>
      <w:r w:rsidRPr="0043001D">
        <w:rPr>
          <w:rFonts w:ascii="Tahoma" w:eastAsia="Times New Roman" w:hAnsi="Tahoma" w:cs="Tahoma"/>
          <w:color w:val="DC3B33"/>
          <w:kern w:val="36"/>
          <w:sz w:val="45"/>
          <w:szCs w:val="45"/>
          <w:lang w:eastAsia="it-IT"/>
          <w14:ligatures w14:val="none"/>
        </w:rPr>
        <w:t>: parere favorevole della Conferenza Unificata sullo schema di regolamento</w:t>
      </w:r>
    </w:p>
    <w:p w14:paraId="27E242AF" w14:textId="77777777" w:rsidR="0043001D" w:rsidRPr="0043001D" w:rsidRDefault="0043001D" w:rsidP="0043001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3001D">
        <w:rPr>
          <w:rFonts w:ascii="Arial" w:eastAsia="Times New Roman" w:hAnsi="Arial" w:cs="Arial"/>
          <w:color w:val="535353"/>
          <w:kern w:val="0"/>
          <w:sz w:val="27"/>
          <w:szCs w:val="27"/>
          <w:lang w:eastAsia="it-IT"/>
          <w14:ligatures w14:val="none"/>
        </w:rPr>
        <w:t>La parola passa ora al Consiglio di Stato.</w:t>
      </w:r>
    </w:p>
    <w:p w14:paraId="2E250B04" w14:textId="77777777" w:rsidR="0043001D" w:rsidRPr="0043001D" w:rsidRDefault="0043001D" w:rsidP="0043001D">
      <w:pPr>
        <w:shd w:val="clear" w:color="auto" w:fill="FFFFFF"/>
        <w:spacing w:after="0" w:line="240" w:lineRule="auto"/>
        <w:rPr>
          <w:rFonts w:ascii="Arial" w:eastAsia="Times New Roman" w:hAnsi="Arial" w:cs="Arial"/>
          <w:color w:val="4D4D4D"/>
          <w:kern w:val="0"/>
          <w:sz w:val="21"/>
          <w:szCs w:val="21"/>
          <w:lang w:eastAsia="it-IT"/>
          <w14:ligatures w14:val="none"/>
        </w:rPr>
      </w:pPr>
      <w:r w:rsidRPr="0043001D">
        <w:rPr>
          <w:rFonts w:ascii="Arial" w:eastAsia="Times New Roman" w:hAnsi="Arial" w:cs="Arial"/>
          <w:b/>
          <w:bCs/>
          <w:color w:val="4D4D4D"/>
          <w:kern w:val="0"/>
          <w:sz w:val="21"/>
          <w:szCs w:val="21"/>
          <w:lang w:eastAsia="it-IT"/>
          <w14:ligatures w14:val="none"/>
        </w:rPr>
        <w:t>13/09/2024</w:t>
      </w:r>
    </w:p>
    <w:p w14:paraId="182D04E8" w14:textId="77777777" w:rsid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5D172A7" w14:textId="41D15EC2"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Come avevamo preannunciato, il </w:t>
      </w:r>
      <w:hyperlink r:id="rId10" w:tgtFrame="_blank" w:history="1">
        <w:r w:rsidRPr="0043001D">
          <w:rPr>
            <w:rFonts w:ascii="Arial" w:eastAsia="Times New Roman" w:hAnsi="Arial" w:cs="Arial"/>
            <w:color w:val="005EB3"/>
            <w:kern w:val="0"/>
            <w:sz w:val="21"/>
            <w:szCs w:val="21"/>
            <w:u w:val="single"/>
            <w:lang w:eastAsia="it-IT"/>
            <w14:ligatures w14:val="none"/>
          </w:rPr>
          <w:t>24 maggio 2024</w:t>
        </w:r>
      </w:hyperlink>
      <w:r w:rsidRPr="0043001D">
        <w:rPr>
          <w:rFonts w:ascii="Arial" w:eastAsia="Times New Roman" w:hAnsi="Arial" w:cs="Arial"/>
          <w:color w:val="000000"/>
          <w:kern w:val="0"/>
          <w:sz w:val="21"/>
          <w:szCs w:val="21"/>
          <w:lang w:eastAsia="it-IT"/>
          <w14:ligatures w14:val="none"/>
        </w:rPr>
        <w:t> era stato illustrato alle organizzazioni sindacali di settore il</w:t>
      </w:r>
      <w:r w:rsidRPr="0043001D">
        <w:rPr>
          <w:rFonts w:ascii="Arial" w:eastAsia="Times New Roman" w:hAnsi="Arial" w:cs="Arial"/>
          <w:b/>
          <w:bCs/>
          <w:color w:val="000000"/>
          <w:kern w:val="0"/>
          <w:sz w:val="21"/>
          <w:szCs w:val="21"/>
          <w:lang w:eastAsia="it-IT"/>
          <w14:ligatures w14:val="none"/>
        </w:rPr>
        <w:t> regolamento</w:t>
      </w:r>
      <w:r w:rsidRPr="0043001D">
        <w:rPr>
          <w:rFonts w:ascii="Arial" w:eastAsia="Times New Roman" w:hAnsi="Arial" w:cs="Arial"/>
          <w:color w:val="000000"/>
          <w:kern w:val="0"/>
          <w:sz w:val="21"/>
          <w:szCs w:val="21"/>
          <w:lang w:eastAsia="it-IT"/>
          <w14:ligatures w14:val="none"/>
        </w:rPr>
        <w:t> con cui si provvede alla </w:t>
      </w:r>
      <w:r w:rsidRPr="0043001D">
        <w:rPr>
          <w:rFonts w:ascii="Arial" w:eastAsia="Times New Roman" w:hAnsi="Arial" w:cs="Arial"/>
          <w:b/>
          <w:bCs/>
          <w:color w:val="000000"/>
          <w:kern w:val="0"/>
          <w:sz w:val="21"/>
          <w:szCs w:val="21"/>
          <w:lang w:eastAsia="it-IT"/>
          <w14:ligatures w14:val="none"/>
        </w:rPr>
        <w:t>definizione del quadro orario</w:t>
      </w:r>
      <w:r w:rsidRPr="0043001D">
        <w:rPr>
          <w:rFonts w:ascii="Arial" w:eastAsia="Times New Roman" w:hAnsi="Arial" w:cs="Arial"/>
          <w:color w:val="000000"/>
          <w:kern w:val="0"/>
          <w:sz w:val="21"/>
          <w:szCs w:val="21"/>
          <w:lang w:eastAsia="it-IT"/>
          <w14:ligatures w14:val="none"/>
        </w:rPr>
        <w:t> degli insegnamenti e degli </w:t>
      </w:r>
      <w:r w:rsidRPr="0043001D">
        <w:rPr>
          <w:rFonts w:ascii="Arial" w:eastAsia="Times New Roman" w:hAnsi="Arial" w:cs="Arial"/>
          <w:b/>
          <w:bCs/>
          <w:color w:val="000000"/>
          <w:kern w:val="0"/>
          <w:sz w:val="21"/>
          <w:szCs w:val="21"/>
          <w:lang w:eastAsia="it-IT"/>
          <w14:ligatures w14:val="none"/>
        </w:rPr>
        <w:t>specifici risultati di apprendimento</w:t>
      </w:r>
      <w:r w:rsidRPr="0043001D">
        <w:rPr>
          <w:rFonts w:ascii="Arial" w:eastAsia="Times New Roman" w:hAnsi="Arial" w:cs="Arial"/>
          <w:color w:val="000000"/>
          <w:kern w:val="0"/>
          <w:sz w:val="21"/>
          <w:szCs w:val="21"/>
          <w:lang w:eastAsia="it-IT"/>
          <w14:ligatures w14:val="none"/>
        </w:rPr>
        <w:t xml:space="preserve"> del Liceo del made in </w:t>
      </w:r>
      <w:proofErr w:type="spellStart"/>
      <w:r w:rsidRPr="0043001D">
        <w:rPr>
          <w:rFonts w:ascii="Arial" w:eastAsia="Times New Roman" w:hAnsi="Arial" w:cs="Arial"/>
          <w:color w:val="000000"/>
          <w:kern w:val="0"/>
          <w:sz w:val="21"/>
          <w:szCs w:val="21"/>
          <w:lang w:eastAsia="it-IT"/>
          <w14:ligatures w14:val="none"/>
        </w:rPr>
        <w:t>Italy</w:t>
      </w:r>
      <w:proofErr w:type="spellEnd"/>
      <w:r w:rsidRPr="0043001D">
        <w:rPr>
          <w:rFonts w:ascii="Arial" w:eastAsia="Times New Roman" w:hAnsi="Arial" w:cs="Arial"/>
          <w:color w:val="000000"/>
          <w:kern w:val="0"/>
          <w:sz w:val="21"/>
          <w:szCs w:val="21"/>
          <w:lang w:eastAsia="it-IT"/>
          <w14:ligatures w14:val="none"/>
        </w:rPr>
        <w:t xml:space="preserve"> (LMI) integrativo del regolamento di cui al </w:t>
      </w:r>
      <w:hyperlink r:id="rId11" w:tgtFrame="_blank" w:history="1">
        <w:r w:rsidRPr="0043001D">
          <w:rPr>
            <w:rFonts w:ascii="Arial" w:eastAsia="Times New Roman" w:hAnsi="Arial" w:cs="Arial"/>
            <w:color w:val="005EB3"/>
            <w:kern w:val="0"/>
            <w:sz w:val="21"/>
            <w:szCs w:val="21"/>
            <w:u w:val="single"/>
            <w:lang w:eastAsia="it-IT"/>
            <w14:ligatures w14:val="none"/>
          </w:rPr>
          <w:t>decreto del Presidente della Repubblica 15 marzo 2010, n. 89.</w:t>
        </w:r>
      </w:hyperlink>
    </w:p>
    <w:p w14:paraId="5F285F8F"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Lo schema di decreto, dopo la seduta del Consiglio dei ministri n. 89 del 22 luglio scorso, è stato poi </w:t>
      </w:r>
      <w:hyperlink r:id="rId12" w:tgtFrame="_blank" w:history="1">
        <w:r w:rsidRPr="0043001D">
          <w:rPr>
            <w:rFonts w:ascii="Arial" w:eastAsia="Times New Roman" w:hAnsi="Arial" w:cs="Arial"/>
            <w:color w:val="005EB3"/>
            <w:kern w:val="0"/>
            <w:sz w:val="21"/>
            <w:szCs w:val="21"/>
            <w:u w:val="single"/>
            <w:lang w:eastAsia="it-IT"/>
            <w14:ligatures w14:val="none"/>
          </w:rPr>
          <w:t>trasmesso al Consiglio di Stato (</w:t>
        </w:r>
        <w:proofErr w:type="spellStart"/>
        <w:r w:rsidRPr="0043001D">
          <w:rPr>
            <w:rFonts w:ascii="Arial" w:eastAsia="Times New Roman" w:hAnsi="Arial" w:cs="Arial"/>
            <w:color w:val="005EB3"/>
            <w:kern w:val="0"/>
            <w:sz w:val="21"/>
            <w:szCs w:val="21"/>
            <w:u w:val="single"/>
            <w:lang w:eastAsia="it-IT"/>
            <w14:ligatures w14:val="none"/>
          </w:rPr>
          <w:t>CdS</w:t>
        </w:r>
        <w:proofErr w:type="spellEnd"/>
        <w:r w:rsidRPr="0043001D">
          <w:rPr>
            <w:rFonts w:ascii="Arial" w:eastAsia="Times New Roman" w:hAnsi="Arial" w:cs="Arial"/>
            <w:color w:val="005EB3"/>
            <w:kern w:val="0"/>
            <w:sz w:val="21"/>
            <w:szCs w:val="21"/>
            <w:u w:val="single"/>
            <w:lang w:eastAsia="it-IT"/>
            <w14:ligatures w14:val="none"/>
          </w:rPr>
          <w:t>)</w:t>
        </w:r>
      </w:hyperlink>
      <w:r w:rsidRPr="0043001D">
        <w:rPr>
          <w:rFonts w:ascii="Arial" w:eastAsia="Times New Roman" w:hAnsi="Arial" w:cs="Arial"/>
          <w:color w:val="000000"/>
          <w:kern w:val="0"/>
          <w:sz w:val="21"/>
          <w:szCs w:val="21"/>
          <w:lang w:eastAsia="it-IT"/>
          <w14:ligatures w14:val="none"/>
        </w:rPr>
        <w:t> e, successivamente, alla </w:t>
      </w:r>
      <w:hyperlink r:id="rId13" w:tgtFrame="_blank" w:history="1">
        <w:r w:rsidRPr="0043001D">
          <w:rPr>
            <w:rFonts w:ascii="Arial" w:eastAsia="Times New Roman" w:hAnsi="Arial" w:cs="Arial"/>
            <w:color w:val="005EB3"/>
            <w:kern w:val="0"/>
            <w:sz w:val="21"/>
            <w:szCs w:val="21"/>
            <w:u w:val="single"/>
            <w:lang w:eastAsia="it-IT"/>
            <w14:ligatures w14:val="none"/>
          </w:rPr>
          <w:t>Conferenza Unificata</w:t>
        </w:r>
      </w:hyperlink>
      <w:r w:rsidRPr="0043001D">
        <w:rPr>
          <w:rFonts w:ascii="Arial" w:eastAsia="Times New Roman" w:hAnsi="Arial" w:cs="Arial"/>
          <w:color w:val="000000"/>
          <w:kern w:val="0"/>
          <w:sz w:val="21"/>
          <w:szCs w:val="21"/>
          <w:lang w:eastAsia="it-IT"/>
          <w14:ligatures w14:val="none"/>
        </w:rPr>
        <w:t> (C.U.) ai fini dell’acquisizione del relativo parere reso obbligatorio ai sensi dell’art. 18, comma 2, della Legge 206 del 27 dicembre 2023.</w:t>
      </w:r>
    </w:p>
    <w:p w14:paraId="2AE6EA8F"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Come abbiamo anticipato, il Consiglio di Stato, con la competente Sezione Consultiva per gli Atti Normativi, ha dovuto </w:t>
      </w:r>
      <w:hyperlink r:id="rId14" w:tgtFrame="_blank" w:history="1">
        <w:r w:rsidRPr="0043001D">
          <w:rPr>
            <w:rFonts w:ascii="Arial" w:eastAsia="Times New Roman" w:hAnsi="Arial" w:cs="Arial"/>
            <w:color w:val="005EB3"/>
            <w:kern w:val="0"/>
            <w:sz w:val="21"/>
            <w:szCs w:val="21"/>
            <w:u w:val="single"/>
            <w:lang w:eastAsia="it-IT"/>
            <w14:ligatures w14:val="none"/>
          </w:rPr>
          <w:t>sospendere l’emissione del parere</w:t>
        </w:r>
      </w:hyperlink>
      <w:r w:rsidRPr="0043001D">
        <w:rPr>
          <w:rFonts w:ascii="Arial" w:eastAsia="Times New Roman" w:hAnsi="Arial" w:cs="Arial"/>
          <w:color w:val="000000"/>
          <w:kern w:val="0"/>
          <w:sz w:val="21"/>
          <w:szCs w:val="21"/>
          <w:lang w:eastAsia="it-IT"/>
          <w14:ligatures w14:val="none"/>
        </w:rPr>
        <w:t> innanzitutto perché l’istruttoria era mancante proprio del parere obbligatorio della Conferenza Unificata, per cui, “</w:t>
      </w:r>
      <w:r w:rsidRPr="0043001D">
        <w:rPr>
          <w:rFonts w:ascii="Arial" w:eastAsia="Times New Roman" w:hAnsi="Arial" w:cs="Arial"/>
          <w:i/>
          <w:iCs/>
          <w:color w:val="000000"/>
          <w:kern w:val="0"/>
          <w:sz w:val="21"/>
          <w:szCs w:val="21"/>
          <w:lang w:eastAsia="it-IT"/>
          <w14:ligatures w14:val="none"/>
        </w:rPr>
        <w:t xml:space="preserve">la rilevata mancanza di tale preliminare parere - osserva il </w:t>
      </w:r>
      <w:proofErr w:type="spellStart"/>
      <w:r w:rsidRPr="0043001D">
        <w:rPr>
          <w:rFonts w:ascii="Arial" w:eastAsia="Times New Roman" w:hAnsi="Arial" w:cs="Arial"/>
          <w:i/>
          <w:iCs/>
          <w:color w:val="000000"/>
          <w:kern w:val="0"/>
          <w:sz w:val="21"/>
          <w:szCs w:val="21"/>
          <w:lang w:eastAsia="it-IT"/>
          <w14:ligatures w14:val="none"/>
        </w:rPr>
        <w:t>CdS</w:t>
      </w:r>
      <w:proofErr w:type="spellEnd"/>
      <w:r w:rsidRPr="0043001D">
        <w:rPr>
          <w:rFonts w:ascii="Arial" w:eastAsia="Times New Roman" w:hAnsi="Arial" w:cs="Arial"/>
          <w:i/>
          <w:iCs/>
          <w:color w:val="000000"/>
          <w:kern w:val="0"/>
          <w:sz w:val="21"/>
          <w:szCs w:val="21"/>
          <w:lang w:eastAsia="it-IT"/>
          <w14:ligatures w14:val="none"/>
        </w:rPr>
        <w:t xml:space="preserve"> - assume un rilievo essenziale in quanto la carenza di tale ineludibile passaggio procedimentale rende impossibile a questa Sezione esprimere il proprio parere sulla base di una piena conoscenza del complesso degli elementi valutativi relativi al proposto intervento normativo</w:t>
      </w:r>
      <w:r w:rsidRPr="0043001D">
        <w:rPr>
          <w:rFonts w:ascii="Arial" w:eastAsia="Times New Roman" w:hAnsi="Arial" w:cs="Arial"/>
          <w:color w:val="000000"/>
          <w:kern w:val="0"/>
          <w:sz w:val="21"/>
          <w:szCs w:val="21"/>
          <w:lang w:eastAsia="it-IT"/>
          <w14:ligatures w14:val="none"/>
        </w:rPr>
        <w:t>”.</w:t>
      </w:r>
    </w:p>
    <w:p w14:paraId="77C14238"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Oggi tale lacuna è stata superata perché con </w:t>
      </w:r>
      <w:hyperlink r:id="rId15" w:tgtFrame="_blank" w:history="1">
        <w:r w:rsidRPr="0043001D">
          <w:rPr>
            <w:rFonts w:ascii="Arial" w:eastAsia="Times New Roman" w:hAnsi="Arial" w:cs="Arial"/>
            <w:b/>
            <w:bCs/>
            <w:color w:val="005EB3"/>
            <w:kern w:val="0"/>
            <w:sz w:val="21"/>
            <w:szCs w:val="21"/>
            <w:lang w:eastAsia="it-IT"/>
            <w14:ligatures w14:val="none"/>
          </w:rPr>
          <w:t>Repertorio dell’atto n. 113/CU del 12 settembre 2024</w:t>
        </w:r>
      </w:hyperlink>
      <w:r w:rsidRPr="0043001D">
        <w:rPr>
          <w:rFonts w:ascii="Arial" w:eastAsia="Times New Roman" w:hAnsi="Arial" w:cs="Arial"/>
          <w:color w:val="000000"/>
          <w:kern w:val="0"/>
          <w:sz w:val="21"/>
          <w:szCs w:val="21"/>
          <w:lang w:eastAsia="it-IT"/>
          <w14:ligatures w14:val="none"/>
        </w:rPr>
        <w:t xml:space="preserve"> la C.U. ha espresso parere favorevole sullo schema di decreto del Presidente della Repubblica, recante “Regolamento concernente la definizione del quadro orario degli insegnamenti e degli specifici risultati di apprendimento del percorso liceale del made in </w:t>
      </w:r>
      <w:proofErr w:type="spellStart"/>
      <w:r w:rsidRPr="0043001D">
        <w:rPr>
          <w:rFonts w:ascii="Arial" w:eastAsia="Times New Roman" w:hAnsi="Arial" w:cs="Arial"/>
          <w:color w:val="000000"/>
          <w:kern w:val="0"/>
          <w:sz w:val="21"/>
          <w:szCs w:val="21"/>
          <w:lang w:eastAsia="it-IT"/>
          <w14:ligatures w14:val="none"/>
        </w:rPr>
        <w:t>Italy</w:t>
      </w:r>
      <w:proofErr w:type="spellEnd"/>
      <w:r w:rsidRPr="0043001D">
        <w:rPr>
          <w:rFonts w:ascii="Arial" w:eastAsia="Times New Roman" w:hAnsi="Arial" w:cs="Arial"/>
          <w:color w:val="000000"/>
          <w:kern w:val="0"/>
          <w:sz w:val="21"/>
          <w:szCs w:val="21"/>
          <w:lang w:eastAsia="it-IT"/>
          <w14:ligatures w14:val="none"/>
        </w:rPr>
        <w:t>, integrativo del regolamento di cui al decreto del Presidente della Repubblica 15 marzo 2010, n. 89”.</w:t>
      </w:r>
    </w:p>
    <w:p w14:paraId="4C16491E"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Resta, comunque, in piedi almeno un altro rilievo della sezione consultiva per gli atti normativi laddove richiamando </w:t>
      </w:r>
      <w:hyperlink r:id="rId16" w:tgtFrame="_blank" w:history="1">
        <w:r w:rsidRPr="0043001D">
          <w:rPr>
            <w:rFonts w:ascii="Arial" w:eastAsia="Times New Roman" w:hAnsi="Arial" w:cs="Arial"/>
            <w:color w:val="005EB3"/>
            <w:kern w:val="0"/>
            <w:sz w:val="21"/>
            <w:szCs w:val="21"/>
            <w:u w:val="single"/>
            <w:lang w:eastAsia="it-IT"/>
            <w14:ligatures w14:val="none"/>
          </w:rPr>
          <w:t>una problematica criticata già dal CSPI,</w:t>
        </w:r>
      </w:hyperlink>
      <w:r w:rsidRPr="0043001D">
        <w:rPr>
          <w:rFonts w:ascii="Arial" w:eastAsia="Times New Roman" w:hAnsi="Arial" w:cs="Arial"/>
          <w:color w:val="000000"/>
          <w:kern w:val="0"/>
          <w:sz w:val="21"/>
          <w:szCs w:val="21"/>
          <w:lang w:eastAsia="it-IT"/>
          <w14:ligatures w14:val="none"/>
        </w:rPr>
        <w:t xml:space="preserve"> fa emergere le difficoltà insite nella pratica attuazione di una specifica formazione rivolta ai docenti coinvolti nell’insegnamento in lingua inglese delle discipline non linguistiche (CLIL). Secondo il parere del </w:t>
      </w:r>
      <w:proofErr w:type="spellStart"/>
      <w:r w:rsidRPr="0043001D">
        <w:rPr>
          <w:rFonts w:ascii="Arial" w:eastAsia="Times New Roman" w:hAnsi="Arial" w:cs="Arial"/>
          <w:color w:val="000000"/>
          <w:kern w:val="0"/>
          <w:sz w:val="21"/>
          <w:szCs w:val="21"/>
          <w:lang w:eastAsia="it-IT"/>
          <w14:ligatures w14:val="none"/>
        </w:rPr>
        <w:t>CdS</w:t>
      </w:r>
      <w:proofErr w:type="spellEnd"/>
      <w:r w:rsidRPr="0043001D">
        <w:rPr>
          <w:rFonts w:ascii="Arial" w:eastAsia="Times New Roman" w:hAnsi="Arial" w:cs="Arial"/>
          <w:color w:val="000000"/>
          <w:kern w:val="0"/>
          <w:sz w:val="21"/>
          <w:szCs w:val="21"/>
          <w:lang w:eastAsia="it-IT"/>
          <w14:ligatures w14:val="none"/>
        </w:rPr>
        <w:t>, </w:t>
      </w:r>
      <w:r w:rsidRPr="0043001D">
        <w:rPr>
          <w:rFonts w:ascii="Arial" w:eastAsia="Times New Roman" w:hAnsi="Arial" w:cs="Arial"/>
          <w:b/>
          <w:bCs/>
          <w:color w:val="000000"/>
          <w:kern w:val="0"/>
          <w:sz w:val="21"/>
          <w:szCs w:val="21"/>
          <w:lang w:eastAsia="it-IT"/>
          <w14:ligatures w14:val="none"/>
        </w:rPr>
        <w:t>tale esigenza formativa potrebbe tradursi in un vulnus della prospettata neutralità finanziaria ribadita dall’art. 4 dello schema di regolamento</w:t>
      </w:r>
      <w:r w:rsidRPr="0043001D">
        <w:rPr>
          <w:rFonts w:ascii="Arial" w:eastAsia="Times New Roman" w:hAnsi="Arial" w:cs="Arial"/>
          <w:color w:val="000000"/>
          <w:kern w:val="0"/>
          <w:sz w:val="21"/>
          <w:szCs w:val="21"/>
          <w:lang w:eastAsia="it-IT"/>
          <w14:ligatures w14:val="none"/>
        </w:rPr>
        <w:t>.</w:t>
      </w:r>
    </w:p>
    <w:p w14:paraId="0DFFD799"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t>Su quest’ultimo punto, resta in piedi una problematica che per la FLC CGIL non ha tanto il valore di una puntualizzazione tecnico-giuridica quanto, piuttosto, assume il senso di una sonora bocciatura anche politica di un provvedimento che, come tutti i progetti di questo Ministro, vuole attuare una radicale riforma senza individuare le risorse necessarie alla loro attuazione.</w:t>
      </w:r>
    </w:p>
    <w:p w14:paraId="2AFEB7F0" w14:textId="77777777" w:rsidR="0043001D" w:rsidRPr="0043001D" w:rsidRDefault="0043001D" w:rsidP="0043001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3001D">
        <w:rPr>
          <w:rFonts w:ascii="Arial" w:eastAsia="Times New Roman" w:hAnsi="Arial" w:cs="Arial"/>
          <w:color w:val="000000"/>
          <w:kern w:val="0"/>
          <w:sz w:val="21"/>
          <w:szCs w:val="21"/>
          <w:lang w:eastAsia="it-IT"/>
          <w14:ligatures w14:val="none"/>
        </w:rPr>
        <w:lastRenderedPageBreak/>
        <w:t>Noi, come sempre, continueremo a vigilare a tutela degli interessi della scuola statale.</w:t>
      </w:r>
    </w:p>
    <w:p w14:paraId="482B0760" w14:textId="77777777" w:rsidR="00F227B5" w:rsidRPr="00F227B5" w:rsidRDefault="00F227B5" w:rsidP="00F227B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F227B5">
        <w:rPr>
          <w:rFonts w:ascii="Tahoma" w:eastAsia="Times New Roman" w:hAnsi="Tahoma" w:cs="Tahoma"/>
          <w:color w:val="DC3B33"/>
          <w:kern w:val="36"/>
          <w:sz w:val="45"/>
          <w:szCs w:val="45"/>
          <w:lang w:eastAsia="it-IT"/>
          <w14:ligatures w14:val="none"/>
        </w:rPr>
        <w:t xml:space="preserve">Valutazione e voto in condotta: approvato il </w:t>
      </w:r>
      <w:proofErr w:type="spellStart"/>
      <w:r w:rsidRPr="00F227B5">
        <w:rPr>
          <w:rFonts w:ascii="Tahoma" w:eastAsia="Times New Roman" w:hAnsi="Tahoma" w:cs="Tahoma"/>
          <w:color w:val="DC3B33"/>
          <w:kern w:val="36"/>
          <w:sz w:val="45"/>
          <w:szCs w:val="45"/>
          <w:lang w:eastAsia="it-IT"/>
          <w14:ligatures w14:val="none"/>
        </w:rPr>
        <w:t>ddl</w:t>
      </w:r>
      <w:proofErr w:type="spellEnd"/>
      <w:r w:rsidRPr="00F227B5">
        <w:rPr>
          <w:rFonts w:ascii="Tahoma" w:eastAsia="Times New Roman" w:hAnsi="Tahoma" w:cs="Tahoma"/>
          <w:color w:val="DC3B33"/>
          <w:kern w:val="36"/>
          <w:sz w:val="45"/>
          <w:szCs w:val="45"/>
          <w:lang w:eastAsia="it-IT"/>
          <w14:ligatures w14:val="none"/>
        </w:rPr>
        <w:t xml:space="preserve"> AC 1830 dalla VII Commissione della Camera</w:t>
      </w:r>
    </w:p>
    <w:p w14:paraId="35C6BC67" w14:textId="77777777" w:rsidR="00F227B5" w:rsidRPr="00F227B5" w:rsidRDefault="00F227B5" w:rsidP="00F227B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F227B5">
        <w:rPr>
          <w:rFonts w:ascii="Arial" w:eastAsia="Times New Roman" w:hAnsi="Arial" w:cs="Arial"/>
          <w:color w:val="535353"/>
          <w:kern w:val="0"/>
          <w:sz w:val="27"/>
          <w:szCs w:val="27"/>
          <w:lang w:eastAsia="it-IT"/>
          <w14:ligatures w14:val="none"/>
        </w:rPr>
        <w:t>Un modello che antepone la logica della selezione alla pratica dell’accoglienza e integrazione</w:t>
      </w:r>
    </w:p>
    <w:p w14:paraId="24367CAF" w14:textId="77777777" w:rsidR="00F227B5" w:rsidRPr="00F227B5" w:rsidRDefault="00F227B5" w:rsidP="00F227B5">
      <w:pPr>
        <w:shd w:val="clear" w:color="auto" w:fill="FFFFFF"/>
        <w:spacing w:after="0" w:line="240" w:lineRule="auto"/>
        <w:rPr>
          <w:rFonts w:ascii="Arial" w:eastAsia="Times New Roman" w:hAnsi="Arial" w:cs="Arial"/>
          <w:color w:val="4D4D4D"/>
          <w:kern w:val="0"/>
          <w:sz w:val="21"/>
          <w:szCs w:val="21"/>
          <w:lang w:eastAsia="it-IT"/>
          <w14:ligatures w14:val="none"/>
        </w:rPr>
      </w:pPr>
      <w:r w:rsidRPr="00F227B5">
        <w:rPr>
          <w:rFonts w:ascii="Arial" w:eastAsia="Times New Roman" w:hAnsi="Arial" w:cs="Arial"/>
          <w:b/>
          <w:bCs/>
          <w:color w:val="4D4D4D"/>
          <w:kern w:val="0"/>
          <w:sz w:val="21"/>
          <w:szCs w:val="21"/>
          <w:lang w:eastAsia="it-IT"/>
          <w14:ligatures w14:val="none"/>
        </w:rPr>
        <w:t>13/09/2024</w:t>
      </w:r>
    </w:p>
    <w:p w14:paraId="1514BB0E" w14:textId="77777777" w:rsid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B56E1CB" w14:textId="7F63071C"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Si è concluso giovedì 12 settembre 2024 in VII Commissione della Camera l’iter di approvazione, iniziato il 17 aprile scorso, del disegno di legge AC 1830 di “</w:t>
      </w:r>
      <w:r w:rsidRPr="00F227B5">
        <w:rPr>
          <w:rFonts w:ascii="Arial" w:eastAsia="Times New Roman" w:hAnsi="Arial" w:cs="Arial"/>
          <w:i/>
          <w:iCs/>
          <w:color w:val="000000"/>
          <w:kern w:val="0"/>
          <w:sz w:val="21"/>
          <w:szCs w:val="21"/>
          <w:lang w:eastAsia="it-IT"/>
          <w14:ligatures w14:val="none"/>
        </w:rPr>
        <w:t>Revisione della disciplina in materia di valutazione delle studentesse e degli studenti, di tutela dell’autorevolezza del personale scolastico nonché di indirizzi scolastici differenziati</w:t>
      </w:r>
      <w:r w:rsidRPr="00F227B5">
        <w:rPr>
          <w:rFonts w:ascii="Arial" w:eastAsia="Times New Roman" w:hAnsi="Arial" w:cs="Arial"/>
          <w:b/>
          <w:bCs/>
          <w:color w:val="000000"/>
          <w:kern w:val="0"/>
          <w:sz w:val="21"/>
          <w:szCs w:val="21"/>
          <w:lang w:eastAsia="it-IT"/>
          <w14:ligatures w14:val="none"/>
        </w:rPr>
        <w:t>” </w:t>
      </w:r>
      <w:hyperlink r:id="rId17" w:tgtFrame="_blank" w:history="1">
        <w:r w:rsidRPr="00F227B5">
          <w:rPr>
            <w:rFonts w:ascii="Arial" w:eastAsia="Times New Roman" w:hAnsi="Arial" w:cs="Arial"/>
            <w:color w:val="005EB3"/>
            <w:kern w:val="0"/>
            <w:sz w:val="21"/>
            <w:szCs w:val="21"/>
            <w:u w:val="single"/>
            <w:lang w:eastAsia="it-IT"/>
            <w14:ligatures w14:val="none"/>
          </w:rPr>
          <w:t>già approvato in Senato il 17 aprile scorso.</w:t>
        </w:r>
      </w:hyperlink>
      <w:r w:rsidRPr="00F227B5">
        <w:rPr>
          <w:rFonts w:ascii="Arial" w:eastAsia="Times New Roman" w:hAnsi="Arial" w:cs="Arial"/>
          <w:color w:val="000000"/>
          <w:kern w:val="0"/>
          <w:sz w:val="21"/>
          <w:szCs w:val="21"/>
          <w:lang w:eastAsia="it-IT"/>
          <w14:ligatures w14:val="none"/>
        </w:rPr>
        <w:t> Come prevedibile, dopo l’approvazione in Senato nessuna delle proposte emendative  presentate è stata accolta. La FLC CGIL, in audizione in VII commissione della Camera in data 22 maggio 2024 aveva </w:t>
      </w:r>
      <w:hyperlink r:id="rId18" w:history="1">
        <w:r w:rsidRPr="00F227B5">
          <w:rPr>
            <w:rFonts w:ascii="Arial" w:eastAsia="Times New Roman" w:hAnsi="Arial" w:cs="Arial"/>
            <w:color w:val="005EB3"/>
            <w:kern w:val="0"/>
            <w:sz w:val="21"/>
            <w:szCs w:val="21"/>
            <w:u w:val="single"/>
            <w:lang w:eastAsia="it-IT"/>
            <w14:ligatures w14:val="none"/>
          </w:rPr>
          <w:t>depositato una memoria scritta</w:t>
        </w:r>
      </w:hyperlink>
      <w:r w:rsidRPr="00F227B5">
        <w:rPr>
          <w:rFonts w:ascii="Arial" w:eastAsia="Times New Roman" w:hAnsi="Arial" w:cs="Arial"/>
          <w:color w:val="000000"/>
          <w:kern w:val="0"/>
          <w:sz w:val="21"/>
          <w:szCs w:val="21"/>
          <w:lang w:eastAsia="it-IT"/>
          <w14:ligatures w14:val="none"/>
        </w:rPr>
        <w:t>.</w:t>
      </w:r>
    </w:p>
    <w:p w14:paraId="7F210907"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Il provvedimento, su cui la FLC CGIL ribadisce il proprio parere </w:t>
      </w:r>
      <w:hyperlink r:id="rId19" w:tgtFrame="_blank" w:history="1">
        <w:r w:rsidRPr="00F227B5">
          <w:rPr>
            <w:rFonts w:ascii="Arial" w:eastAsia="Times New Roman" w:hAnsi="Arial" w:cs="Arial"/>
            <w:color w:val="005EB3"/>
            <w:kern w:val="0"/>
            <w:sz w:val="21"/>
            <w:szCs w:val="21"/>
            <w:u w:val="single"/>
            <w:lang w:eastAsia="it-IT"/>
            <w14:ligatures w14:val="none"/>
          </w:rPr>
          <w:t>negativo</w:t>
        </w:r>
      </w:hyperlink>
      <w:r w:rsidRPr="00F227B5">
        <w:rPr>
          <w:rFonts w:ascii="Arial" w:eastAsia="Times New Roman" w:hAnsi="Arial" w:cs="Arial"/>
          <w:color w:val="000000"/>
          <w:kern w:val="0"/>
          <w:sz w:val="21"/>
          <w:szCs w:val="21"/>
          <w:lang w:eastAsia="it-IT"/>
          <w14:ligatures w14:val="none"/>
        </w:rPr>
        <w:t>, in sintesi, prevede:</w:t>
      </w:r>
    </w:p>
    <w:p w14:paraId="31643B1E" w14:textId="77777777" w:rsidR="00F227B5" w:rsidRPr="00F227B5" w:rsidRDefault="00F227B5" w:rsidP="00F227B5">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27B5">
        <w:rPr>
          <w:rFonts w:ascii="Arial" w:eastAsia="Times New Roman" w:hAnsi="Arial" w:cs="Arial"/>
          <w:color w:val="000000"/>
          <w:kern w:val="0"/>
          <w:sz w:val="23"/>
          <w:szCs w:val="23"/>
          <w:lang w:eastAsia="it-IT"/>
          <w14:ligatures w14:val="none"/>
        </w:rPr>
        <w:t>lo </w:t>
      </w:r>
      <w:r w:rsidRPr="00F227B5">
        <w:rPr>
          <w:rFonts w:ascii="Arial" w:eastAsia="Times New Roman" w:hAnsi="Arial" w:cs="Arial"/>
          <w:b/>
          <w:bCs/>
          <w:color w:val="000000"/>
          <w:kern w:val="0"/>
          <w:sz w:val="23"/>
          <w:szCs w:val="23"/>
          <w:lang w:eastAsia="it-IT"/>
          <w14:ligatures w14:val="none"/>
        </w:rPr>
        <w:t>smantellamento del modello di valutazione formativa della scuola primaria</w:t>
      </w:r>
      <w:r w:rsidRPr="00F227B5">
        <w:rPr>
          <w:rFonts w:ascii="Arial" w:eastAsia="Times New Roman" w:hAnsi="Arial" w:cs="Arial"/>
          <w:color w:val="000000"/>
          <w:kern w:val="0"/>
          <w:sz w:val="23"/>
          <w:szCs w:val="23"/>
          <w:lang w:eastAsia="it-IT"/>
          <w14:ligatures w14:val="none"/>
        </w:rPr>
        <w:t>, attraverso l’introduzione dei giudizi sintetici della valutazione periodica e finale degli apprendimenti a decorrere dall'anno scolastico 2024/2025;</w:t>
      </w:r>
    </w:p>
    <w:p w14:paraId="6D3CC530" w14:textId="77777777" w:rsidR="00F227B5" w:rsidRPr="00F227B5" w:rsidRDefault="00F227B5" w:rsidP="00F227B5">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27B5">
        <w:rPr>
          <w:rFonts w:ascii="Arial" w:eastAsia="Times New Roman" w:hAnsi="Arial" w:cs="Arial"/>
          <w:color w:val="000000"/>
          <w:kern w:val="0"/>
          <w:sz w:val="23"/>
          <w:szCs w:val="23"/>
          <w:lang w:eastAsia="it-IT"/>
          <w14:ligatures w14:val="none"/>
        </w:rPr>
        <w:t>l’introduzione di un modello pedagogico che </w:t>
      </w:r>
      <w:r w:rsidRPr="00F227B5">
        <w:rPr>
          <w:rFonts w:ascii="Arial" w:eastAsia="Times New Roman" w:hAnsi="Arial" w:cs="Arial"/>
          <w:b/>
          <w:bCs/>
          <w:color w:val="000000"/>
          <w:kern w:val="0"/>
          <w:sz w:val="23"/>
          <w:szCs w:val="23"/>
          <w:lang w:eastAsia="it-IT"/>
          <w14:ligatures w14:val="none"/>
        </w:rPr>
        <w:t>sanziona senza educare </w:t>
      </w:r>
      <w:r w:rsidRPr="00F227B5">
        <w:rPr>
          <w:rFonts w:ascii="Arial" w:eastAsia="Times New Roman" w:hAnsi="Arial" w:cs="Arial"/>
          <w:color w:val="000000"/>
          <w:kern w:val="0"/>
          <w:sz w:val="23"/>
          <w:szCs w:val="23"/>
          <w:lang w:eastAsia="it-IT"/>
          <w14:ligatures w14:val="none"/>
        </w:rPr>
        <w:t>in cui ritorna l'espressione della valutazione del comportamento in decimi che prevede:</w:t>
      </w:r>
    </w:p>
    <w:p w14:paraId="4F65B3BA" w14:textId="77777777" w:rsidR="00F227B5" w:rsidRPr="00F227B5" w:rsidRDefault="00F227B5" w:rsidP="00F227B5">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nella scuola </w:t>
      </w:r>
      <w:r w:rsidRPr="00F227B5">
        <w:rPr>
          <w:rFonts w:ascii="Arial" w:eastAsia="Times New Roman" w:hAnsi="Arial" w:cs="Arial"/>
          <w:b/>
          <w:bCs/>
          <w:color w:val="000000"/>
          <w:kern w:val="0"/>
          <w:sz w:val="21"/>
          <w:szCs w:val="21"/>
          <w:lang w:eastAsia="it-IT"/>
          <w14:ligatures w14:val="none"/>
        </w:rPr>
        <w:t>secondaria di primo grado</w:t>
      </w:r>
      <w:r w:rsidRPr="00F227B5">
        <w:rPr>
          <w:rFonts w:ascii="Arial" w:eastAsia="Times New Roman" w:hAnsi="Arial" w:cs="Arial"/>
          <w:color w:val="000000"/>
          <w:kern w:val="0"/>
          <w:sz w:val="21"/>
          <w:szCs w:val="21"/>
          <w:lang w:eastAsia="it-IT"/>
          <w14:ligatures w14:val="none"/>
        </w:rPr>
        <w:t> la non ammissione alla classe successiva o all'esame di Stato conclusivo del I ciclo in caso di valutazione del comportamento inferiore a sei decimi;  </w:t>
      </w:r>
    </w:p>
    <w:p w14:paraId="0BACD8FD" w14:textId="77777777" w:rsidR="00F227B5" w:rsidRPr="00F227B5" w:rsidRDefault="00F227B5" w:rsidP="00F227B5">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nella scuola </w:t>
      </w:r>
      <w:r w:rsidRPr="00F227B5">
        <w:rPr>
          <w:rFonts w:ascii="Arial" w:eastAsia="Times New Roman" w:hAnsi="Arial" w:cs="Arial"/>
          <w:b/>
          <w:bCs/>
          <w:color w:val="000000"/>
          <w:kern w:val="0"/>
          <w:sz w:val="21"/>
          <w:szCs w:val="21"/>
          <w:lang w:eastAsia="it-IT"/>
          <w14:ligatures w14:val="none"/>
        </w:rPr>
        <w:t>secondaria di secondo grado</w:t>
      </w:r>
      <w:r w:rsidRPr="00F227B5">
        <w:rPr>
          <w:rFonts w:ascii="Arial" w:eastAsia="Times New Roman" w:hAnsi="Arial" w:cs="Arial"/>
          <w:color w:val="000000"/>
          <w:kern w:val="0"/>
          <w:sz w:val="21"/>
          <w:szCs w:val="21"/>
          <w:lang w:eastAsia="it-IT"/>
          <w14:ligatures w14:val="none"/>
        </w:rPr>
        <w:t> la non ammissione all'esame di Stato conclusivo in caso di valutazione del comportamento inferiore a sei decimi e l'assegnazione di un elaborato critico in materia di cittadinanza attiva e solidale da trattare in sede di colloquio dell'esame, in caso di valutazione del comportamento pari a sei decimi. È previsto che il punteggio più alto nell'ambito della fascia di attribuzione del credito scolastico, spettante all'esame di Stato conclusivo del II grado, possa essere attribuito solo se il voto di comportamento assegnato è pari o superiore a nove decimi.</w:t>
      </w:r>
    </w:p>
    <w:p w14:paraId="010D2367"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Entro 180 giorni dalla data di entrata in vigore della legge, </w:t>
      </w:r>
      <w:r w:rsidRPr="00F227B5">
        <w:rPr>
          <w:rFonts w:ascii="Arial" w:eastAsia="Times New Roman" w:hAnsi="Arial" w:cs="Arial"/>
          <w:b/>
          <w:bCs/>
          <w:color w:val="000000"/>
          <w:kern w:val="0"/>
          <w:sz w:val="21"/>
          <w:szCs w:val="21"/>
          <w:lang w:eastAsia="it-IT"/>
          <w14:ligatures w14:val="none"/>
        </w:rPr>
        <w:t>si dovrà procedere alla revisione complessiva della disciplina in materia di valutazione del comportamento degli studenti delle scuole secondarie di primo e secondo grado</w:t>
      </w:r>
      <w:r w:rsidRPr="00F227B5">
        <w:rPr>
          <w:rFonts w:ascii="Arial" w:eastAsia="Times New Roman" w:hAnsi="Arial" w:cs="Arial"/>
          <w:color w:val="000000"/>
          <w:kern w:val="0"/>
          <w:sz w:val="21"/>
          <w:szCs w:val="21"/>
          <w:lang w:eastAsia="it-IT"/>
          <w14:ligatures w14:val="none"/>
        </w:rPr>
        <w:t>, nell'ambito della quale si dovrà prevedere:</w:t>
      </w:r>
    </w:p>
    <w:p w14:paraId="7013D073" w14:textId="77777777" w:rsidR="00F227B5" w:rsidRPr="00F227B5" w:rsidRDefault="00F227B5" w:rsidP="00F227B5">
      <w:pPr>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il </w:t>
      </w:r>
      <w:r w:rsidRPr="00F227B5">
        <w:rPr>
          <w:rFonts w:ascii="Arial" w:eastAsia="Times New Roman" w:hAnsi="Arial" w:cs="Arial"/>
          <w:b/>
          <w:bCs/>
          <w:color w:val="000000"/>
          <w:kern w:val="0"/>
          <w:sz w:val="21"/>
          <w:szCs w:val="21"/>
          <w:lang w:eastAsia="it-IT"/>
          <w14:ligatures w14:val="none"/>
        </w:rPr>
        <w:t>coinvolgimento in</w:t>
      </w:r>
      <w:r w:rsidRPr="00F227B5">
        <w:rPr>
          <w:rFonts w:ascii="Arial" w:eastAsia="Times New Roman" w:hAnsi="Arial" w:cs="Arial"/>
          <w:color w:val="000000"/>
          <w:kern w:val="0"/>
          <w:sz w:val="21"/>
          <w:szCs w:val="21"/>
          <w:lang w:eastAsia="it-IT"/>
          <w14:ligatures w14:val="none"/>
        </w:rPr>
        <w:t> </w:t>
      </w:r>
      <w:r w:rsidRPr="00F227B5">
        <w:rPr>
          <w:rFonts w:ascii="Arial" w:eastAsia="Times New Roman" w:hAnsi="Arial" w:cs="Arial"/>
          <w:b/>
          <w:bCs/>
          <w:color w:val="000000"/>
          <w:kern w:val="0"/>
          <w:sz w:val="21"/>
          <w:szCs w:val="21"/>
          <w:lang w:eastAsia="it-IT"/>
          <w14:ligatures w14:val="none"/>
        </w:rPr>
        <w:t>attività di approfondimento</w:t>
      </w:r>
      <w:r w:rsidRPr="00F227B5">
        <w:rPr>
          <w:rFonts w:ascii="Arial" w:eastAsia="Times New Roman" w:hAnsi="Arial" w:cs="Arial"/>
          <w:color w:val="000000"/>
          <w:kern w:val="0"/>
          <w:sz w:val="21"/>
          <w:szCs w:val="21"/>
          <w:lang w:eastAsia="it-IT"/>
          <w14:ligatures w14:val="none"/>
        </w:rPr>
        <w:t> sulle conseguenze dei comportamenti che hanno determinato il provvedimento disciplinare;</w:t>
      </w:r>
    </w:p>
    <w:p w14:paraId="4330C829" w14:textId="77777777" w:rsidR="00F227B5" w:rsidRPr="00F227B5" w:rsidRDefault="00F227B5" w:rsidP="00F227B5">
      <w:pPr>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lo </w:t>
      </w:r>
      <w:r w:rsidRPr="00F227B5">
        <w:rPr>
          <w:rFonts w:ascii="Arial" w:eastAsia="Times New Roman" w:hAnsi="Arial" w:cs="Arial"/>
          <w:b/>
          <w:bCs/>
          <w:color w:val="000000"/>
          <w:kern w:val="0"/>
          <w:sz w:val="21"/>
          <w:szCs w:val="21"/>
          <w:lang w:eastAsia="it-IT"/>
          <w14:ligatures w14:val="none"/>
        </w:rPr>
        <w:t>svolgimento di attività di cittadinanza solidale</w:t>
      </w:r>
      <w:r w:rsidRPr="00F227B5">
        <w:rPr>
          <w:rFonts w:ascii="Arial" w:eastAsia="Times New Roman" w:hAnsi="Arial" w:cs="Arial"/>
          <w:color w:val="000000"/>
          <w:kern w:val="0"/>
          <w:sz w:val="21"/>
          <w:szCs w:val="21"/>
          <w:lang w:eastAsia="it-IT"/>
          <w14:ligatures w14:val="none"/>
        </w:rPr>
        <w:t> presso strutture convenzionate con le istituzioni scolastiche;</w:t>
      </w:r>
    </w:p>
    <w:p w14:paraId="417B9FFE" w14:textId="77777777" w:rsidR="00F227B5" w:rsidRPr="00F227B5" w:rsidRDefault="00F227B5" w:rsidP="00F227B5">
      <w:pPr>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il coinvolgimento in attività di </w:t>
      </w:r>
      <w:r w:rsidRPr="00F227B5">
        <w:rPr>
          <w:rFonts w:ascii="Arial" w:eastAsia="Times New Roman" w:hAnsi="Arial" w:cs="Arial"/>
          <w:b/>
          <w:bCs/>
          <w:color w:val="000000"/>
          <w:kern w:val="0"/>
          <w:sz w:val="21"/>
          <w:szCs w:val="21"/>
          <w:lang w:eastAsia="it-IT"/>
          <w14:ligatures w14:val="none"/>
        </w:rPr>
        <w:t>approfondimento in materia di cittadinanza attiva e solidale</w:t>
      </w:r>
      <w:r w:rsidRPr="00F227B5">
        <w:rPr>
          <w:rFonts w:ascii="Arial" w:eastAsia="Times New Roman" w:hAnsi="Arial" w:cs="Arial"/>
          <w:color w:val="000000"/>
          <w:kern w:val="0"/>
          <w:sz w:val="21"/>
          <w:szCs w:val="21"/>
          <w:lang w:eastAsia="it-IT"/>
          <w14:ligatures w14:val="none"/>
        </w:rPr>
        <w:t>;</w:t>
      </w:r>
    </w:p>
    <w:p w14:paraId="3EB5979C" w14:textId="77777777" w:rsidR="00F227B5" w:rsidRPr="00F227B5" w:rsidRDefault="00F227B5" w:rsidP="00F227B5">
      <w:pPr>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per la sola scuola secondaria superiore la </w:t>
      </w:r>
      <w:r w:rsidRPr="00F227B5">
        <w:rPr>
          <w:rFonts w:ascii="Arial" w:eastAsia="Times New Roman" w:hAnsi="Arial" w:cs="Arial"/>
          <w:b/>
          <w:bCs/>
          <w:color w:val="000000"/>
          <w:kern w:val="0"/>
          <w:sz w:val="21"/>
          <w:szCs w:val="21"/>
          <w:lang w:eastAsia="it-IT"/>
          <w14:ligatures w14:val="none"/>
        </w:rPr>
        <w:t>sospensione del giudizio</w:t>
      </w:r>
      <w:r w:rsidRPr="00F227B5">
        <w:rPr>
          <w:rFonts w:ascii="Arial" w:eastAsia="Times New Roman" w:hAnsi="Arial" w:cs="Arial"/>
          <w:color w:val="000000"/>
          <w:kern w:val="0"/>
          <w:sz w:val="21"/>
          <w:szCs w:val="21"/>
          <w:lang w:eastAsia="it-IT"/>
          <w14:ligatures w14:val="none"/>
        </w:rPr>
        <w:t> sull'ammissione alla classe successiva e </w:t>
      </w:r>
      <w:r w:rsidRPr="00F227B5">
        <w:rPr>
          <w:rFonts w:ascii="Arial" w:eastAsia="Times New Roman" w:hAnsi="Arial" w:cs="Arial"/>
          <w:b/>
          <w:bCs/>
          <w:color w:val="000000"/>
          <w:kern w:val="0"/>
          <w:sz w:val="21"/>
          <w:szCs w:val="21"/>
          <w:lang w:eastAsia="it-IT"/>
          <w14:ligatures w14:val="none"/>
        </w:rPr>
        <w:t>l‘assegnazione un elaborato critico in materia di cittadinanza attiva e solidale</w:t>
      </w:r>
      <w:r w:rsidRPr="00F227B5">
        <w:rPr>
          <w:rFonts w:ascii="Arial" w:eastAsia="Times New Roman" w:hAnsi="Arial" w:cs="Arial"/>
          <w:color w:val="000000"/>
          <w:kern w:val="0"/>
          <w:sz w:val="21"/>
          <w:szCs w:val="21"/>
          <w:lang w:eastAsia="it-IT"/>
          <w14:ligatures w14:val="none"/>
        </w:rPr>
        <w:t> in caso di attribuzione di un voto di comportamento pari a sei decimi.</w:t>
      </w:r>
    </w:p>
    <w:p w14:paraId="57860853"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Il provvedimento introduce anche disposizioni in merito alle scuole a metodo didattico differenziato e consente:</w:t>
      </w:r>
    </w:p>
    <w:p w14:paraId="4BFA2B06" w14:textId="77777777" w:rsidR="00F227B5" w:rsidRPr="00F227B5" w:rsidRDefault="00F227B5" w:rsidP="00F227B5">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27B5">
        <w:rPr>
          <w:rFonts w:ascii="Arial" w:eastAsia="Times New Roman" w:hAnsi="Arial" w:cs="Arial"/>
          <w:color w:val="000000"/>
          <w:kern w:val="0"/>
          <w:sz w:val="23"/>
          <w:szCs w:val="23"/>
          <w:lang w:eastAsia="it-IT"/>
          <w14:ligatures w14:val="none"/>
        </w:rPr>
        <w:t xml:space="preserve">alle sezioni di scuola dell'infanzia e alle classi di scuola primaria dell'Opera nazionale Montessori di continuare a funzionare e permette, a partire dall'anno scolastico </w:t>
      </w:r>
      <w:r w:rsidRPr="00F227B5">
        <w:rPr>
          <w:rFonts w:ascii="Arial" w:eastAsia="Times New Roman" w:hAnsi="Arial" w:cs="Arial"/>
          <w:color w:val="000000"/>
          <w:kern w:val="0"/>
          <w:sz w:val="23"/>
          <w:szCs w:val="23"/>
          <w:lang w:eastAsia="it-IT"/>
          <w14:ligatures w14:val="none"/>
        </w:rPr>
        <w:lastRenderedPageBreak/>
        <w:t>2025/2026, l'attivazione a regime anche di classi di scuola secondaria di primo grado a metodo Montessori,</w:t>
      </w:r>
    </w:p>
    <w:p w14:paraId="57515AF9" w14:textId="77777777" w:rsidR="00F227B5" w:rsidRPr="00F227B5" w:rsidRDefault="00F227B5" w:rsidP="00F227B5">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F227B5">
        <w:rPr>
          <w:rFonts w:ascii="Arial" w:eastAsia="Times New Roman" w:hAnsi="Arial" w:cs="Arial"/>
          <w:color w:val="000000"/>
          <w:kern w:val="0"/>
          <w:sz w:val="23"/>
          <w:szCs w:val="23"/>
          <w:lang w:eastAsia="it-IT"/>
          <w14:ligatures w14:val="none"/>
        </w:rPr>
        <w:t>l’attivazione, presso università ed enti di formazione, di corsi annuali di differenziazione didattica a metodo Agazzi per le scuole dell'infanzia e a metodo Pizzigoni per le scuole primarie, ai fini del conseguimento della specializzazione necessaria per concorrere all'attribuzione delle relative cattedre.</w:t>
      </w:r>
    </w:p>
    <w:p w14:paraId="671BDB78"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La Commissione ha infine deliberato di conferire alla relatrice on. Di Maggio (</w:t>
      </w:r>
      <w:proofErr w:type="spellStart"/>
      <w:r w:rsidRPr="00F227B5">
        <w:rPr>
          <w:rFonts w:ascii="Arial" w:eastAsia="Times New Roman" w:hAnsi="Arial" w:cs="Arial"/>
          <w:color w:val="000000"/>
          <w:kern w:val="0"/>
          <w:sz w:val="21"/>
          <w:szCs w:val="21"/>
          <w:lang w:eastAsia="it-IT"/>
          <w14:ligatures w14:val="none"/>
        </w:rPr>
        <w:t>FdI</w:t>
      </w:r>
      <w:proofErr w:type="spellEnd"/>
      <w:r w:rsidRPr="00F227B5">
        <w:rPr>
          <w:rFonts w:ascii="Arial" w:eastAsia="Times New Roman" w:hAnsi="Arial" w:cs="Arial"/>
          <w:color w:val="000000"/>
          <w:kern w:val="0"/>
          <w:sz w:val="21"/>
          <w:szCs w:val="21"/>
          <w:lang w:eastAsia="it-IT"/>
          <w14:ligatures w14:val="none"/>
        </w:rPr>
        <w:t>) il mandato a riferire favorevolmente all'Assemblea sul provvedimento in esame.</w:t>
      </w:r>
    </w:p>
    <w:p w14:paraId="32BF82B4"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color w:val="000000"/>
          <w:kern w:val="0"/>
          <w:sz w:val="21"/>
          <w:szCs w:val="21"/>
          <w:lang w:eastAsia="it-IT"/>
          <w14:ligatures w14:val="none"/>
        </w:rPr>
        <w:t>La discussione all’Assemblea della Camera del disegno di legge n. 1830 è stata già calendarizzata, salvo variazioni, per lunedì 16 settembre e martedì 17, per la prevedibile approvazione entro la settimana prossima.</w:t>
      </w:r>
    </w:p>
    <w:p w14:paraId="780613BF" w14:textId="77777777" w:rsidR="00F227B5" w:rsidRPr="00F227B5" w:rsidRDefault="00F227B5" w:rsidP="00F227B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F227B5">
        <w:rPr>
          <w:rFonts w:ascii="Arial" w:eastAsia="Times New Roman" w:hAnsi="Arial" w:cs="Arial"/>
          <w:b/>
          <w:bCs/>
          <w:color w:val="000000"/>
          <w:kern w:val="0"/>
          <w:sz w:val="21"/>
          <w:szCs w:val="21"/>
          <w:lang w:eastAsia="it-IT"/>
          <w14:ligatures w14:val="none"/>
        </w:rPr>
        <w:t>La FLC CGIL ribadisce che si tratta di una misura inefficace e formale</w:t>
      </w:r>
      <w:r w:rsidRPr="00F227B5">
        <w:rPr>
          <w:rFonts w:ascii="Arial" w:eastAsia="Times New Roman" w:hAnsi="Arial" w:cs="Arial"/>
          <w:color w:val="000000"/>
          <w:kern w:val="0"/>
          <w:sz w:val="21"/>
          <w:szCs w:val="21"/>
          <w:lang w:eastAsia="it-IT"/>
          <w14:ligatures w14:val="none"/>
        </w:rPr>
        <w:t> che tende a burocratizzare il rapporto tra l’istituzione Scuola e la sua componente studentesca e</w:t>
      </w:r>
      <w:r w:rsidRPr="00F227B5">
        <w:rPr>
          <w:rFonts w:ascii="Arial" w:eastAsia="Times New Roman" w:hAnsi="Arial" w:cs="Arial"/>
          <w:b/>
          <w:bCs/>
          <w:color w:val="000000"/>
          <w:kern w:val="0"/>
          <w:sz w:val="21"/>
          <w:szCs w:val="21"/>
          <w:lang w:eastAsia="it-IT"/>
          <w14:ligatures w14:val="none"/>
        </w:rPr>
        <w:t> che individua come soluzione al disagio giovanile un progetto di scuola autoritaria e il voto in condotta.</w:t>
      </w:r>
      <w:r w:rsidRPr="00F227B5">
        <w:rPr>
          <w:rFonts w:ascii="Arial" w:eastAsia="Times New Roman" w:hAnsi="Arial" w:cs="Arial"/>
          <w:color w:val="000000"/>
          <w:kern w:val="0"/>
          <w:sz w:val="21"/>
          <w:szCs w:val="21"/>
          <w:lang w:eastAsia="it-IT"/>
          <w14:ligatures w14:val="none"/>
        </w:rPr>
        <w:t> Non si manifesta alcuna volontà di educare con più tempo scuola e maggiore supporto educativo, soprattutto nei contesti in cui mancano il supporto familiare e la cultura del rispetto alla convivenza democratica.</w:t>
      </w:r>
    </w:p>
    <w:p w14:paraId="621189D3" w14:textId="77777777" w:rsidR="00683B0A" w:rsidRPr="00683B0A" w:rsidRDefault="00683B0A" w:rsidP="00683B0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83B0A">
        <w:rPr>
          <w:rFonts w:ascii="Tahoma" w:eastAsia="Times New Roman" w:hAnsi="Tahoma" w:cs="Tahoma"/>
          <w:color w:val="DC3B33"/>
          <w:kern w:val="36"/>
          <w:sz w:val="45"/>
          <w:szCs w:val="45"/>
          <w:lang w:eastAsia="it-IT"/>
          <w14:ligatures w14:val="none"/>
        </w:rPr>
        <w:t>Decreto legge onnicomprensivo: la FLC CGIL propone emendamenti</w:t>
      </w:r>
    </w:p>
    <w:p w14:paraId="55E13FAA" w14:textId="77777777" w:rsidR="00683B0A" w:rsidRPr="00683B0A" w:rsidRDefault="00683B0A" w:rsidP="00683B0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83B0A">
        <w:rPr>
          <w:rFonts w:ascii="Arial" w:eastAsia="Times New Roman" w:hAnsi="Arial" w:cs="Arial"/>
          <w:color w:val="535353"/>
          <w:kern w:val="0"/>
          <w:sz w:val="27"/>
          <w:szCs w:val="27"/>
          <w:lang w:eastAsia="it-IT"/>
          <w14:ligatures w14:val="none"/>
        </w:rPr>
        <w:t>L’iter di conversione del DL 113/2024 rappresenta un’opportunità per apportare miglioramenti al sistema scolastico. In sintesi gli emendamenti proposti dalla FLC CGIL</w:t>
      </w:r>
    </w:p>
    <w:p w14:paraId="3D5438B2" w14:textId="77777777" w:rsidR="00683B0A" w:rsidRPr="00683B0A" w:rsidRDefault="00683B0A" w:rsidP="00683B0A">
      <w:pPr>
        <w:shd w:val="clear" w:color="auto" w:fill="FFFFFF"/>
        <w:spacing w:after="0" w:line="240" w:lineRule="auto"/>
        <w:rPr>
          <w:rFonts w:ascii="Arial" w:eastAsia="Times New Roman" w:hAnsi="Arial" w:cs="Arial"/>
          <w:color w:val="4D4D4D"/>
          <w:kern w:val="0"/>
          <w:sz w:val="21"/>
          <w:szCs w:val="21"/>
          <w:lang w:eastAsia="it-IT"/>
          <w14:ligatures w14:val="none"/>
        </w:rPr>
      </w:pPr>
      <w:r w:rsidRPr="00683B0A">
        <w:rPr>
          <w:rFonts w:ascii="Arial" w:eastAsia="Times New Roman" w:hAnsi="Arial" w:cs="Arial"/>
          <w:b/>
          <w:bCs/>
          <w:color w:val="4D4D4D"/>
          <w:kern w:val="0"/>
          <w:sz w:val="21"/>
          <w:szCs w:val="21"/>
          <w:lang w:eastAsia="it-IT"/>
          <w14:ligatures w14:val="none"/>
        </w:rPr>
        <w:t>12/09/2024</w:t>
      </w:r>
    </w:p>
    <w:p w14:paraId="403D5CB7" w14:textId="77777777" w:rsidR="00683B0A" w:rsidRDefault="00683B0A" w:rsidP="00683B0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C982E07" w14:textId="293A64E5" w:rsidR="00683B0A" w:rsidRPr="00683B0A" w:rsidRDefault="00683B0A" w:rsidP="00683B0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83B0A">
        <w:rPr>
          <w:rFonts w:ascii="Arial" w:eastAsia="Times New Roman" w:hAnsi="Arial" w:cs="Arial"/>
          <w:color w:val="000000"/>
          <w:kern w:val="0"/>
          <w:sz w:val="21"/>
          <w:szCs w:val="21"/>
          <w:lang w:eastAsia="it-IT"/>
          <w14:ligatures w14:val="none"/>
        </w:rPr>
        <w:t>È in corso in queste settimane l’iter parlamentare di conversione del </w:t>
      </w:r>
      <w:r w:rsidRPr="00683B0A">
        <w:rPr>
          <w:rFonts w:ascii="Arial" w:eastAsia="Times New Roman" w:hAnsi="Arial" w:cs="Arial"/>
          <w:b/>
          <w:bCs/>
          <w:color w:val="000000"/>
          <w:kern w:val="0"/>
          <w:sz w:val="21"/>
          <w:szCs w:val="21"/>
          <w:lang w:eastAsia="it-IT"/>
          <w14:ligatures w14:val="none"/>
        </w:rPr>
        <w:t>DL 9 agosto 2024, n. 113</w:t>
      </w:r>
      <w:r w:rsidRPr="00683B0A">
        <w:rPr>
          <w:rFonts w:ascii="Arial" w:eastAsia="Times New Roman" w:hAnsi="Arial" w:cs="Arial"/>
          <w:color w:val="000000"/>
          <w:kern w:val="0"/>
          <w:sz w:val="21"/>
          <w:szCs w:val="21"/>
          <w:lang w:eastAsia="it-IT"/>
          <w14:ligatures w14:val="none"/>
        </w:rPr>
        <w:t> recante “Misure urgenti di carattere fiscale, proroghe di termini normativi ed interventi di carattere economico”.</w:t>
      </w:r>
    </w:p>
    <w:p w14:paraId="552AB183" w14:textId="77777777" w:rsidR="00683B0A" w:rsidRPr="00683B0A" w:rsidRDefault="00683B0A" w:rsidP="00683B0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83B0A">
        <w:rPr>
          <w:rFonts w:ascii="Arial" w:eastAsia="Times New Roman" w:hAnsi="Arial" w:cs="Arial"/>
          <w:color w:val="000000"/>
          <w:kern w:val="0"/>
          <w:sz w:val="21"/>
          <w:szCs w:val="21"/>
          <w:lang w:eastAsia="it-IT"/>
          <w14:ligatures w14:val="none"/>
        </w:rPr>
        <w:t>La FLC CGIL, coerentemente con la propria attività sindacale e con gli impegni assunti con le lavoratrici e i lavoratori del settore scuola, ha presentato proposte di </w:t>
      </w:r>
      <w:r w:rsidRPr="00683B0A">
        <w:rPr>
          <w:rFonts w:ascii="Arial" w:eastAsia="Times New Roman" w:hAnsi="Arial" w:cs="Arial"/>
          <w:b/>
          <w:bCs/>
          <w:color w:val="000000"/>
          <w:kern w:val="0"/>
          <w:sz w:val="21"/>
          <w:szCs w:val="21"/>
          <w:lang w:eastAsia="it-IT"/>
          <w14:ligatures w14:val="none"/>
        </w:rPr>
        <w:t>emendamenti </w:t>
      </w:r>
      <w:r w:rsidRPr="00683B0A">
        <w:rPr>
          <w:rFonts w:ascii="Arial" w:eastAsia="Times New Roman" w:hAnsi="Arial" w:cs="Arial"/>
          <w:color w:val="000000"/>
          <w:kern w:val="0"/>
          <w:sz w:val="21"/>
          <w:szCs w:val="21"/>
          <w:lang w:eastAsia="it-IT"/>
          <w14:ligatures w14:val="none"/>
        </w:rPr>
        <w:t>relativi a:</w:t>
      </w:r>
    </w:p>
    <w:p w14:paraId="61E8C8CD"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Proroga fino al loro esaurimento delle graduatorie degli idonei del concorso straordinario di cui al DD 510/2020.</w:t>
      </w:r>
    </w:p>
    <w:p w14:paraId="3A6C54FD"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 xml:space="preserve">Integrazione delle graduatorie dei concorsi PNRR (DD 2575/2023 e DD 2576/2023) con i candidati risultati idonei e proroga “ad </w:t>
      </w:r>
      <w:proofErr w:type="spellStart"/>
      <w:r w:rsidRPr="00683B0A">
        <w:rPr>
          <w:rFonts w:ascii="Arial" w:eastAsia="Times New Roman" w:hAnsi="Arial" w:cs="Arial"/>
          <w:color w:val="000000"/>
          <w:kern w:val="0"/>
          <w:sz w:val="23"/>
          <w:szCs w:val="23"/>
          <w:lang w:eastAsia="it-IT"/>
          <w14:ligatures w14:val="none"/>
        </w:rPr>
        <w:t>esaurimentum</w:t>
      </w:r>
      <w:proofErr w:type="spellEnd"/>
      <w:r w:rsidRPr="00683B0A">
        <w:rPr>
          <w:rFonts w:ascii="Arial" w:eastAsia="Times New Roman" w:hAnsi="Arial" w:cs="Arial"/>
          <w:color w:val="000000"/>
          <w:kern w:val="0"/>
          <w:sz w:val="23"/>
          <w:szCs w:val="23"/>
          <w:lang w:eastAsia="it-IT"/>
          <w14:ligatures w14:val="none"/>
        </w:rPr>
        <w:t>”.</w:t>
      </w:r>
    </w:p>
    <w:p w14:paraId="690532B1"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Sospensione dei prossimi concorsi docenti fino all’esaurimento di tutte le graduatorie dei vincitori e degli idonei delle procedure precedenti o in via di espletamento.</w:t>
      </w:r>
    </w:p>
    <w:p w14:paraId="0776A6C4"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Abolizione dei corsi di specializzazione erogati da INDIRE e implementazione dei TFA sostegno.</w:t>
      </w:r>
    </w:p>
    <w:p w14:paraId="6DE86758"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Collocazione in coda nelle GPS dei docenti in possesso di titolo di abilitazione/specializzazione conseguito all’estero e non ancora riconosciuto.</w:t>
      </w:r>
    </w:p>
    <w:p w14:paraId="07D19960"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Abrogazione della norma che prevede la conferma dei supplenti di sostegno a richiesta delle famiglie.</w:t>
      </w:r>
    </w:p>
    <w:p w14:paraId="0EF5BBD7"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Proroga dei contratti PNRR e Agenda Sud del personale ATA fino al 31.12.2026</w:t>
      </w:r>
    </w:p>
    <w:p w14:paraId="0433D0EB"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Spostamento dei costi delle supplenze brevi e temporanee nel capitolo spese fisse e ricorrenti.</w:t>
      </w:r>
    </w:p>
    <w:p w14:paraId="52E2887C"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lastRenderedPageBreak/>
        <w:t>Piano straordinario di assunzione del personale ATA su tutti i posti liberi e vacanti (30 mila)</w:t>
      </w:r>
    </w:p>
    <w:p w14:paraId="579AD0F7" w14:textId="77777777" w:rsidR="00683B0A" w:rsidRPr="00683B0A" w:rsidRDefault="00683B0A" w:rsidP="00683B0A">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83B0A">
        <w:rPr>
          <w:rFonts w:ascii="Arial" w:eastAsia="Times New Roman" w:hAnsi="Arial" w:cs="Arial"/>
          <w:color w:val="000000"/>
          <w:kern w:val="0"/>
          <w:sz w:val="23"/>
          <w:szCs w:val="23"/>
          <w:lang w:eastAsia="it-IT"/>
          <w14:ligatures w14:val="none"/>
        </w:rPr>
        <w:t>Implementazione dell’organico degli assistenti tecnici e assegnazione a tutte le scuole del I ciclo</w:t>
      </w:r>
    </w:p>
    <w:p w14:paraId="0CDCD2B1"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4B40"/>
    <w:multiLevelType w:val="multilevel"/>
    <w:tmpl w:val="2A36A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FB4640"/>
    <w:multiLevelType w:val="multilevel"/>
    <w:tmpl w:val="7F7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57ED0"/>
    <w:multiLevelType w:val="multilevel"/>
    <w:tmpl w:val="6638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A04EF"/>
    <w:multiLevelType w:val="multilevel"/>
    <w:tmpl w:val="F3D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F112B"/>
    <w:multiLevelType w:val="multilevel"/>
    <w:tmpl w:val="9BA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90F84"/>
    <w:multiLevelType w:val="multilevel"/>
    <w:tmpl w:val="BA668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4D85F8D"/>
    <w:multiLevelType w:val="multilevel"/>
    <w:tmpl w:val="C08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239507">
    <w:abstractNumId w:val="4"/>
  </w:num>
  <w:num w:numId="2" w16cid:durableId="1013842741">
    <w:abstractNumId w:val="6"/>
  </w:num>
  <w:num w:numId="3" w16cid:durableId="746345072">
    <w:abstractNumId w:val="2"/>
  </w:num>
  <w:num w:numId="4" w16cid:durableId="1522157602">
    <w:abstractNumId w:val="5"/>
  </w:num>
  <w:num w:numId="5" w16cid:durableId="1369837052">
    <w:abstractNumId w:val="0"/>
  </w:num>
  <w:num w:numId="6" w16cid:durableId="1825855847">
    <w:abstractNumId w:val="3"/>
  </w:num>
  <w:num w:numId="7" w16cid:durableId="73964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8C"/>
    <w:rsid w:val="000D0D40"/>
    <w:rsid w:val="000D0EC2"/>
    <w:rsid w:val="002024FB"/>
    <w:rsid w:val="0043001D"/>
    <w:rsid w:val="00683B0A"/>
    <w:rsid w:val="006A558C"/>
    <w:rsid w:val="008C0993"/>
    <w:rsid w:val="008C3CE8"/>
    <w:rsid w:val="00F227B5"/>
    <w:rsid w:val="00F36F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652"/>
  <w15:chartTrackingRefBased/>
  <w15:docId w15:val="{DA5E0C3D-CF6D-40F3-8205-8585E85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72361">
      <w:bodyDiv w:val="1"/>
      <w:marLeft w:val="0"/>
      <w:marRight w:val="0"/>
      <w:marTop w:val="0"/>
      <w:marBottom w:val="0"/>
      <w:divBdr>
        <w:top w:val="none" w:sz="0" w:space="0" w:color="auto"/>
        <w:left w:val="none" w:sz="0" w:space="0" w:color="auto"/>
        <w:bottom w:val="none" w:sz="0" w:space="0" w:color="auto"/>
        <w:right w:val="none" w:sz="0" w:space="0" w:color="auto"/>
      </w:divBdr>
      <w:divsChild>
        <w:div w:id="1187450941">
          <w:marLeft w:val="0"/>
          <w:marRight w:val="0"/>
          <w:marTop w:val="150"/>
          <w:marBottom w:val="150"/>
          <w:divBdr>
            <w:top w:val="none" w:sz="0" w:space="0" w:color="auto"/>
            <w:left w:val="none" w:sz="0" w:space="0" w:color="auto"/>
            <w:bottom w:val="single" w:sz="6" w:space="0" w:color="CCCCCC"/>
            <w:right w:val="none" w:sz="0" w:space="0" w:color="auto"/>
          </w:divBdr>
          <w:divsChild>
            <w:div w:id="708455359">
              <w:marLeft w:val="0"/>
              <w:marRight w:val="0"/>
              <w:marTop w:val="0"/>
              <w:marBottom w:val="0"/>
              <w:divBdr>
                <w:top w:val="none" w:sz="0" w:space="0" w:color="auto"/>
                <w:left w:val="none" w:sz="0" w:space="0" w:color="auto"/>
                <w:bottom w:val="none" w:sz="0" w:space="0" w:color="auto"/>
                <w:right w:val="none" w:sz="0" w:space="0" w:color="auto"/>
              </w:divBdr>
            </w:div>
          </w:divsChild>
        </w:div>
        <w:div w:id="1274023497">
          <w:marLeft w:val="0"/>
          <w:marRight w:val="0"/>
          <w:marTop w:val="75"/>
          <w:marBottom w:val="150"/>
          <w:divBdr>
            <w:top w:val="none" w:sz="0" w:space="0" w:color="auto"/>
            <w:left w:val="none" w:sz="0" w:space="0" w:color="auto"/>
            <w:bottom w:val="none" w:sz="0" w:space="0" w:color="auto"/>
            <w:right w:val="none" w:sz="0" w:space="0" w:color="auto"/>
          </w:divBdr>
          <w:divsChild>
            <w:div w:id="1538614678">
              <w:marLeft w:val="0"/>
              <w:marRight w:val="0"/>
              <w:marTop w:val="45"/>
              <w:marBottom w:val="0"/>
              <w:divBdr>
                <w:top w:val="none" w:sz="0" w:space="0" w:color="auto"/>
                <w:left w:val="single" w:sz="48" w:space="0" w:color="FFFFFF"/>
                <w:bottom w:val="single" w:sz="48" w:space="0" w:color="FFFFFF"/>
                <w:right w:val="none" w:sz="0" w:space="0" w:color="auto"/>
              </w:divBdr>
              <w:divsChild>
                <w:div w:id="938831815">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450054762">
      <w:bodyDiv w:val="1"/>
      <w:marLeft w:val="0"/>
      <w:marRight w:val="0"/>
      <w:marTop w:val="0"/>
      <w:marBottom w:val="0"/>
      <w:divBdr>
        <w:top w:val="none" w:sz="0" w:space="0" w:color="auto"/>
        <w:left w:val="none" w:sz="0" w:space="0" w:color="auto"/>
        <w:bottom w:val="none" w:sz="0" w:space="0" w:color="auto"/>
        <w:right w:val="none" w:sz="0" w:space="0" w:color="auto"/>
      </w:divBdr>
      <w:divsChild>
        <w:div w:id="1847397790">
          <w:marLeft w:val="0"/>
          <w:marRight w:val="0"/>
          <w:marTop w:val="150"/>
          <w:marBottom w:val="150"/>
          <w:divBdr>
            <w:top w:val="none" w:sz="0" w:space="0" w:color="auto"/>
            <w:left w:val="none" w:sz="0" w:space="0" w:color="auto"/>
            <w:bottom w:val="single" w:sz="6" w:space="0" w:color="CCCCCC"/>
            <w:right w:val="none" w:sz="0" w:space="0" w:color="auto"/>
          </w:divBdr>
          <w:divsChild>
            <w:div w:id="975914425">
              <w:marLeft w:val="0"/>
              <w:marRight w:val="0"/>
              <w:marTop w:val="0"/>
              <w:marBottom w:val="0"/>
              <w:divBdr>
                <w:top w:val="none" w:sz="0" w:space="0" w:color="auto"/>
                <w:left w:val="none" w:sz="0" w:space="0" w:color="auto"/>
                <w:bottom w:val="none" w:sz="0" w:space="0" w:color="auto"/>
                <w:right w:val="none" w:sz="0" w:space="0" w:color="auto"/>
              </w:divBdr>
            </w:div>
          </w:divsChild>
        </w:div>
        <w:div w:id="1260483871">
          <w:marLeft w:val="0"/>
          <w:marRight w:val="0"/>
          <w:marTop w:val="0"/>
          <w:marBottom w:val="0"/>
          <w:divBdr>
            <w:top w:val="none" w:sz="0" w:space="0" w:color="auto"/>
            <w:left w:val="none" w:sz="0" w:space="0" w:color="auto"/>
            <w:bottom w:val="none" w:sz="0" w:space="0" w:color="auto"/>
            <w:right w:val="none" w:sz="0" w:space="0" w:color="auto"/>
          </w:divBdr>
          <w:divsChild>
            <w:div w:id="1711881334">
              <w:marLeft w:val="75"/>
              <w:marRight w:val="150"/>
              <w:marTop w:val="45"/>
              <w:marBottom w:val="75"/>
              <w:divBdr>
                <w:top w:val="none" w:sz="0" w:space="0" w:color="auto"/>
                <w:left w:val="none" w:sz="0" w:space="0" w:color="auto"/>
                <w:bottom w:val="none" w:sz="0" w:space="0" w:color="auto"/>
                <w:right w:val="none" w:sz="0" w:space="0" w:color="auto"/>
              </w:divBdr>
            </w:div>
            <w:div w:id="227541319">
              <w:marLeft w:val="300"/>
              <w:marRight w:val="150"/>
              <w:marTop w:val="75"/>
              <w:marBottom w:val="0"/>
              <w:divBdr>
                <w:top w:val="none" w:sz="0" w:space="0" w:color="auto"/>
                <w:left w:val="none" w:sz="0" w:space="0" w:color="auto"/>
                <w:bottom w:val="none" w:sz="0" w:space="0" w:color="auto"/>
                <w:right w:val="none" w:sz="0" w:space="0" w:color="auto"/>
              </w:divBdr>
            </w:div>
            <w:div w:id="400176427">
              <w:marLeft w:val="300"/>
              <w:marRight w:val="150"/>
              <w:marTop w:val="75"/>
              <w:marBottom w:val="0"/>
              <w:divBdr>
                <w:top w:val="none" w:sz="0" w:space="0" w:color="auto"/>
                <w:left w:val="none" w:sz="0" w:space="0" w:color="auto"/>
                <w:bottom w:val="none" w:sz="0" w:space="0" w:color="auto"/>
                <w:right w:val="none" w:sz="0" w:space="0" w:color="auto"/>
              </w:divBdr>
            </w:div>
          </w:divsChild>
        </w:div>
        <w:div w:id="1546209950">
          <w:marLeft w:val="0"/>
          <w:marRight w:val="0"/>
          <w:marTop w:val="75"/>
          <w:marBottom w:val="150"/>
          <w:divBdr>
            <w:top w:val="none" w:sz="0" w:space="0" w:color="auto"/>
            <w:left w:val="none" w:sz="0" w:space="0" w:color="auto"/>
            <w:bottom w:val="none" w:sz="0" w:space="0" w:color="auto"/>
            <w:right w:val="none" w:sz="0" w:space="0" w:color="auto"/>
          </w:divBdr>
        </w:div>
      </w:divsChild>
    </w:div>
    <w:div w:id="526138664">
      <w:bodyDiv w:val="1"/>
      <w:marLeft w:val="0"/>
      <w:marRight w:val="0"/>
      <w:marTop w:val="0"/>
      <w:marBottom w:val="0"/>
      <w:divBdr>
        <w:top w:val="none" w:sz="0" w:space="0" w:color="auto"/>
        <w:left w:val="none" w:sz="0" w:space="0" w:color="auto"/>
        <w:bottom w:val="none" w:sz="0" w:space="0" w:color="auto"/>
        <w:right w:val="none" w:sz="0" w:space="0" w:color="auto"/>
      </w:divBdr>
      <w:divsChild>
        <w:div w:id="726034907">
          <w:marLeft w:val="0"/>
          <w:marRight w:val="0"/>
          <w:marTop w:val="150"/>
          <w:marBottom w:val="150"/>
          <w:divBdr>
            <w:top w:val="none" w:sz="0" w:space="0" w:color="auto"/>
            <w:left w:val="none" w:sz="0" w:space="0" w:color="auto"/>
            <w:bottom w:val="single" w:sz="6" w:space="0" w:color="CCCCCC"/>
            <w:right w:val="none" w:sz="0" w:space="0" w:color="auto"/>
          </w:divBdr>
          <w:divsChild>
            <w:div w:id="1657026868">
              <w:marLeft w:val="0"/>
              <w:marRight w:val="0"/>
              <w:marTop w:val="0"/>
              <w:marBottom w:val="0"/>
              <w:divBdr>
                <w:top w:val="none" w:sz="0" w:space="0" w:color="auto"/>
                <w:left w:val="none" w:sz="0" w:space="0" w:color="auto"/>
                <w:bottom w:val="none" w:sz="0" w:space="0" w:color="auto"/>
                <w:right w:val="none" w:sz="0" w:space="0" w:color="auto"/>
              </w:divBdr>
            </w:div>
          </w:divsChild>
        </w:div>
        <w:div w:id="1784761851">
          <w:marLeft w:val="0"/>
          <w:marRight w:val="0"/>
          <w:marTop w:val="0"/>
          <w:marBottom w:val="0"/>
          <w:divBdr>
            <w:top w:val="none" w:sz="0" w:space="0" w:color="auto"/>
            <w:left w:val="none" w:sz="0" w:space="0" w:color="auto"/>
            <w:bottom w:val="none" w:sz="0" w:space="0" w:color="auto"/>
            <w:right w:val="none" w:sz="0" w:space="0" w:color="auto"/>
          </w:divBdr>
          <w:divsChild>
            <w:div w:id="752288272">
              <w:marLeft w:val="75"/>
              <w:marRight w:val="150"/>
              <w:marTop w:val="45"/>
              <w:marBottom w:val="75"/>
              <w:divBdr>
                <w:top w:val="none" w:sz="0" w:space="0" w:color="auto"/>
                <w:left w:val="none" w:sz="0" w:space="0" w:color="auto"/>
                <w:bottom w:val="none" w:sz="0" w:space="0" w:color="auto"/>
                <w:right w:val="none" w:sz="0" w:space="0" w:color="auto"/>
              </w:divBdr>
            </w:div>
            <w:div w:id="929118988">
              <w:marLeft w:val="300"/>
              <w:marRight w:val="150"/>
              <w:marTop w:val="75"/>
              <w:marBottom w:val="0"/>
              <w:divBdr>
                <w:top w:val="none" w:sz="0" w:space="0" w:color="auto"/>
                <w:left w:val="none" w:sz="0" w:space="0" w:color="auto"/>
                <w:bottom w:val="none" w:sz="0" w:space="0" w:color="auto"/>
                <w:right w:val="none" w:sz="0" w:space="0" w:color="auto"/>
              </w:divBdr>
            </w:div>
            <w:div w:id="1579558140">
              <w:marLeft w:val="300"/>
              <w:marRight w:val="150"/>
              <w:marTop w:val="75"/>
              <w:marBottom w:val="0"/>
              <w:divBdr>
                <w:top w:val="none" w:sz="0" w:space="0" w:color="auto"/>
                <w:left w:val="none" w:sz="0" w:space="0" w:color="auto"/>
                <w:bottom w:val="none" w:sz="0" w:space="0" w:color="auto"/>
                <w:right w:val="none" w:sz="0" w:space="0" w:color="auto"/>
              </w:divBdr>
            </w:div>
          </w:divsChild>
        </w:div>
        <w:div w:id="2108573992">
          <w:marLeft w:val="0"/>
          <w:marRight w:val="0"/>
          <w:marTop w:val="75"/>
          <w:marBottom w:val="150"/>
          <w:divBdr>
            <w:top w:val="none" w:sz="0" w:space="0" w:color="auto"/>
            <w:left w:val="none" w:sz="0" w:space="0" w:color="auto"/>
            <w:bottom w:val="none" w:sz="0" w:space="0" w:color="auto"/>
            <w:right w:val="none" w:sz="0" w:space="0" w:color="auto"/>
          </w:divBdr>
        </w:div>
      </w:divsChild>
    </w:div>
    <w:div w:id="576286156">
      <w:bodyDiv w:val="1"/>
      <w:marLeft w:val="0"/>
      <w:marRight w:val="0"/>
      <w:marTop w:val="0"/>
      <w:marBottom w:val="0"/>
      <w:divBdr>
        <w:top w:val="none" w:sz="0" w:space="0" w:color="auto"/>
        <w:left w:val="none" w:sz="0" w:space="0" w:color="auto"/>
        <w:bottom w:val="none" w:sz="0" w:space="0" w:color="auto"/>
        <w:right w:val="none" w:sz="0" w:space="0" w:color="auto"/>
      </w:divBdr>
      <w:divsChild>
        <w:div w:id="1680305141">
          <w:marLeft w:val="0"/>
          <w:marRight w:val="0"/>
          <w:marTop w:val="150"/>
          <w:marBottom w:val="150"/>
          <w:divBdr>
            <w:top w:val="none" w:sz="0" w:space="0" w:color="auto"/>
            <w:left w:val="none" w:sz="0" w:space="0" w:color="auto"/>
            <w:bottom w:val="single" w:sz="6" w:space="0" w:color="CCCCCC"/>
            <w:right w:val="none" w:sz="0" w:space="0" w:color="auto"/>
          </w:divBdr>
          <w:divsChild>
            <w:div w:id="803962671">
              <w:marLeft w:val="0"/>
              <w:marRight w:val="0"/>
              <w:marTop w:val="0"/>
              <w:marBottom w:val="0"/>
              <w:divBdr>
                <w:top w:val="none" w:sz="0" w:space="0" w:color="auto"/>
                <w:left w:val="none" w:sz="0" w:space="0" w:color="auto"/>
                <w:bottom w:val="none" w:sz="0" w:space="0" w:color="auto"/>
                <w:right w:val="none" w:sz="0" w:space="0" w:color="auto"/>
              </w:divBdr>
            </w:div>
          </w:divsChild>
        </w:div>
        <w:div w:id="1259556998">
          <w:marLeft w:val="0"/>
          <w:marRight w:val="0"/>
          <w:marTop w:val="0"/>
          <w:marBottom w:val="0"/>
          <w:divBdr>
            <w:top w:val="none" w:sz="0" w:space="0" w:color="auto"/>
            <w:left w:val="none" w:sz="0" w:space="0" w:color="auto"/>
            <w:bottom w:val="none" w:sz="0" w:space="0" w:color="auto"/>
            <w:right w:val="none" w:sz="0" w:space="0" w:color="auto"/>
          </w:divBdr>
          <w:divsChild>
            <w:div w:id="774057177">
              <w:marLeft w:val="75"/>
              <w:marRight w:val="150"/>
              <w:marTop w:val="45"/>
              <w:marBottom w:val="75"/>
              <w:divBdr>
                <w:top w:val="none" w:sz="0" w:space="0" w:color="auto"/>
                <w:left w:val="none" w:sz="0" w:space="0" w:color="auto"/>
                <w:bottom w:val="none" w:sz="0" w:space="0" w:color="auto"/>
                <w:right w:val="none" w:sz="0" w:space="0" w:color="auto"/>
              </w:divBdr>
            </w:div>
            <w:div w:id="627705716">
              <w:marLeft w:val="300"/>
              <w:marRight w:val="150"/>
              <w:marTop w:val="75"/>
              <w:marBottom w:val="0"/>
              <w:divBdr>
                <w:top w:val="none" w:sz="0" w:space="0" w:color="auto"/>
                <w:left w:val="none" w:sz="0" w:space="0" w:color="auto"/>
                <w:bottom w:val="none" w:sz="0" w:space="0" w:color="auto"/>
                <w:right w:val="none" w:sz="0" w:space="0" w:color="auto"/>
              </w:divBdr>
            </w:div>
            <w:div w:id="1763142582">
              <w:marLeft w:val="300"/>
              <w:marRight w:val="150"/>
              <w:marTop w:val="75"/>
              <w:marBottom w:val="0"/>
              <w:divBdr>
                <w:top w:val="none" w:sz="0" w:space="0" w:color="auto"/>
                <w:left w:val="none" w:sz="0" w:space="0" w:color="auto"/>
                <w:bottom w:val="none" w:sz="0" w:space="0" w:color="auto"/>
                <w:right w:val="none" w:sz="0" w:space="0" w:color="auto"/>
              </w:divBdr>
            </w:div>
          </w:divsChild>
        </w:div>
        <w:div w:id="1023559789">
          <w:marLeft w:val="0"/>
          <w:marRight w:val="0"/>
          <w:marTop w:val="75"/>
          <w:marBottom w:val="150"/>
          <w:divBdr>
            <w:top w:val="none" w:sz="0" w:space="0" w:color="auto"/>
            <w:left w:val="none" w:sz="0" w:space="0" w:color="auto"/>
            <w:bottom w:val="none" w:sz="0" w:space="0" w:color="auto"/>
            <w:right w:val="none" w:sz="0" w:space="0" w:color="auto"/>
          </w:divBdr>
        </w:div>
      </w:divsChild>
    </w:div>
    <w:div w:id="987396254">
      <w:bodyDiv w:val="1"/>
      <w:marLeft w:val="0"/>
      <w:marRight w:val="0"/>
      <w:marTop w:val="0"/>
      <w:marBottom w:val="0"/>
      <w:divBdr>
        <w:top w:val="none" w:sz="0" w:space="0" w:color="auto"/>
        <w:left w:val="none" w:sz="0" w:space="0" w:color="auto"/>
        <w:bottom w:val="none" w:sz="0" w:space="0" w:color="auto"/>
        <w:right w:val="none" w:sz="0" w:space="0" w:color="auto"/>
      </w:divBdr>
      <w:divsChild>
        <w:div w:id="1274089895">
          <w:marLeft w:val="0"/>
          <w:marRight w:val="0"/>
          <w:marTop w:val="75"/>
          <w:marBottom w:val="150"/>
          <w:divBdr>
            <w:top w:val="none" w:sz="0" w:space="0" w:color="auto"/>
            <w:left w:val="none" w:sz="0" w:space="0" w:color="auto"/>
            <w:bottom w:val="none" w:sz="0" w:space="0" w:color="auto"/>
            <w:right w:val="none" w:sz="0" w:space="0" w:color="auto"/>
          </w:divBdr>
          <w:divsChild>
            <w:div w:id="165560086">
              <w:marLeft w:val="0"/>
              <w:marRight w:val="0"/>
              <w:marTop w:val="45"/>
              <w:marBottom w:val="0"/>
              <w:divBdr>
                <w:top w:val="none" w:sz="0" w:space="0" w:color="auto"/>
                <w:left w:val="single" w:sz="48" w:space="0" w:color="FFFFFF"/>
                <w:bottom w:val="single" w:sz="48" w:space="0" w:color="FFFFFF"/>
                <w:right w:val="none" w:sz="0" w:space="0" w:color="auto"/>
              </w:divBdr>
              <w:divsChild>
                <w:div w:id="69353094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 w:id="2076704846">
          <w:marLeft w:val="0"/>
          <w:marRight w:val="0"/>
          <w:marTop w:val="150"/>
          <w:marBottom w:val="150"/>
          <w:divBdr>
            <w:top w:val="none" w:sz="0" w:space="0" w:color="auto"/>
            <w:left w:val="none" w:sz="0" w:space="0" w:color="auto"/>
            <w:bottom w:val="single" w:sz="6" w:space="0" w:color="CCCCCC"/>
            <w:right w:val="none" w:sz="0" w:space="0" w:color="auto"/>
          </w:divBdr>
          <w:divsChild>
            <w:div w:id="10770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2683">
      <w:bodyDiv w:val="1"/>
      <w:marLeft w:val="0"/>
      <w:marRight w:val="0"/>
      <w:marTop w:val="0"/>
      <w:marBottom w:val="0"/>
      <w:divBdr>
        <w:top w:val="none" w:sz="0" w:space="0" w:color="auto"/>
        <w:left w:val="none" w:sz="0" w:space="0" w:color="auto"/>
        <w:bottom w:val="none" w:sz="0" w:space="0" w:color="auto"/>
        <w:right w:val="none" w:sz="0" w:space="0" w:color="auto"/>
      </w:divBdr>
      <w:divsChild>
        <w:div w:id="1882355037">
          <w:marLeft w:val="0"/>
          <w:marRight w:val="0"/>
          <w:marTop w:val="150"/>
          <w:marBottom w:val="150"/>
          <w:divBdr>
            <w:top w:val="none" w:sz="0" w:space="0" w:color="auto"/>
            <w:left w:val="none" w:sz="0" w:space="0" w:color="auto"/>
            <w:bottom w:val="single" w:sz="6" w:space="0" w:color="CCCCCC"/>
            <w:right w:val="none" w:sz="0" w:space="0" w:color="auto"/>
          </w:divBdr>
          <w:divsChild>
            <w:div w:id="512960364">
              <w:marLeft w:val="0"/>
              <w:marRight w:val="0"/>
              <w:marTop w:val="0"/>
              <w:marBottom w:val="0"/>
              <w:divBdr>
                <w:top w:val="none" w:sz="0" w:space="0" w:color="auto"/>
                <w:left w:val="none" w:sz="0" w:space="0" w:color="auto"/>
                <w:bottom w:val="none" w:sz="0" w:space="0" w:color="auto"/>
                <w:right w:val="none" w:sz="0" w:space="0" w:color="auto"/>
              </w:divBdr>
            </w:div>
          </w:divsChild>
        </w:div>
        <w:div w:id="1173958987">
          <w:marLeft w:val="0"/>
          <w:marRight w:val="0"/>
          <w:marTop w:val="0"/>
          <w:marBottom w:val="0"/>
          <w:divBdr>
            <w:top w:val="none" w:sz="0" w:space="0" w:color="auto"/>
            <w:left w:val="none" w:sz="0" w:space="0" w:color="auto"/>
            <w:bottom w:val="none" w:sz="0" w:space="0" w:color="auto"/>
            <w:right w:val="none" w:sz="0" w:space="0" w:color="auto"/>
          </w:divBdr>
          <w:divsChild>
            <w:div w:id="342364850">
              <w:marLeft w:val="75"/>
              <w:marRight w:val="150"/>
              <w:marTop w:val="45"/>
              <w:marBottom w:val="75"/>
              <w:divBdr>
                <w:top w:val="none" w:sz="0" w:space="0" w:color="auto"/>
                <w:left w:val="none" w:sz="0" w:space="0" w:color="auto"/>
                <w:bottom w:val="none" w:sz="0" w:space="0" w:color="auto"/>
                <w:right w:val="none" w:sz="0" w:space="0" w:color="auto"/>
              </w:divBdr>
            </w:div>
            <w:div w:id="1168785291">
              <w:marLeft w:val="300"/>
              <w:marRight w:val="150"/>
              <w:marTop w:val="75"/>
              <w:marBottom w:val="0"/>
              <w:divBdr>
                <w:top w:val="none" w:sz="0" w:space="0" w:color="auto"/>
                <w:left w:val="none" w:sz="0" w:space="0" w:color="auto"/>
                <w:bottom w:val="none" w:sz="0" w:space="0" w:color="auto"/>
                <w:right w:val="none" w:sz="0" w:space="0" w:color="auto"/>
              </w:divBdr>
            </w:div>
            <w:div w:id="1079597721">
              <w:marLeft w:val="300"/>
              <w:marRight w:val="150"/>
              <w:marTop w:val="75"/>
              <w:marBottom w:val="0"/>
              <w:divBdr>
                <w:top w:val="none" w:sz="0" w:space="0" w:color="auto"/>
                <w:left w:val="none" w:sz="0" w:space="0" w:color="auto"/>
                <w:bottom w:val="none" w:sz="0" w:space="0" w:color="auto"/>
                <w:right w:val="none" w:sz="0" w:space="0" w:color="auto"/>
              </w:divBdr>
            </w:div>
          </w:divsChild>
        </w:div>
        <w:div w:id="2096512160">
          <w:marLeft w:val="0"/>
          <w:marRight w:val="0"/>
          <w:marTop w:val="75"/>
          <w:marBottom w:val="150"/>
          <w:divBdr>
            <w:top w:val="none" w:sz="0" w:space="0" w:color="auto"/>
            <w:left w:val="none" w:sz="0" w:space="0" w:color="auto"/>
            <w:bottom w:val="none" w:sz="0" w:space="0" w:color="auto"/>
            <w:right w:val="none" w:sz="0" w:space="0" w:color="auto"/>
          </w:divBdr>
        </w:div>
      </w:divsChild>
    </w:div>
    <w:div w:id="207061478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4">
          <w:marLeft w:val="0"/>
          <w:marRight w:val="0"/>
          <w:marTop w:val="150"/>
          <w:marBottom w:val="150"/>
          <w:divBdr>
            <w:top w:val="none" w:sz="0" w:space="0" w:color="auto"/>
            <w:left w:val="none" w:sz="0" w:space="0" w:color="auto"/>
            <w:bottom w:val="single" w:sz="6" w:space="0" w:color="CCCCCC"/>
            <w:right w:val="none" w:sz="0" w:space="0" w:color="auto"/>
          </w:divBdr>
          <w:divsChild>
            <w:div w:id="2044597484">
              <w:marLeft w:val="0"/>
              <w:marRight w:val="0"/>
              <w:marTop w:val="0"/>
              <w:marBottom w:val="0"/>
              <w:divBdr>
                <w:top w:val="none" w:sz="0" w:space="0" w:color="auto"/>
                <w:left w:val="none" w:sz="0" w:space="0" w:color="auto"/>
                <w:bottom w:val="none" w:sz="0" w:space="0" w:color="auto"/>
                <w:right w:val="none" w:sz="0" w:space="0" w:color="auto"/>
              </w:divBdr>
            </w:div>
          </w:divsChild>
        </w:div>
        <w:div w:id="501744453">
          <w:marLeft w:val="0"/>
          <w:marRight w:val="0"/>
          <w:marTop w:val="0"/>
          <w:marBottom w:val="0"/>
          <w:divBdr>
            <w:top w:val="none" w:sz="0" w:space="0" w:color="auto"/>
            <w:left w:val="none" w:sz="0" w:space="0" w:color="auto"/>
            <w:bottom w:val="none" w:sz="0" w:space="0" w:color="auto"/>
            <w:right w:val="none" w:sz="0" w:space="0" w:color="auto"/>
          </w:divBdr>
          <w:divsChild>
            <w:div w:id="462190846">
              <w:marLeft w:val="75"/>
              <w:marRight w:val="150"/>
              <w:marTop w:val="45"/>
              <w:marBottom w:val="75"/>
              <w:divBdr>
                <w:top w:val="none" w:sz="0" w:space="0" w:color="auto"/>
                <w:left w:val="none" w:sz="0" w:space="0" w:color="auto"/>
                <w:bottom w:val="none" w:sz="0" w:space="0" w:color="auto"/>
                <w:right w:val="none" w:sz="0" w:space="0" w:color="auto"/>
              </w:divBdr>
            </w:div>
            <w:div w:id="1653371570">
              <w:marLeft w:val="300"/>
              <w:marRight w:val="150"/>
              <w:marTop w:val="75"/>
              <w:marBottom w:val="0"/>
              <w:divBdr>
                <w:top w:val="none" w:sz="0" w:space="0" w:color="auto"/>
                <w:left w:val="none" w:sz="0" w:space="0" w:color="auto"/>
                <w:bottom w:val="none" w:sz="0" w:space="0" w:color="auto"/>
                <w:right w:val="none" w:sz="0" w:space="0" w:color="auto"/>
              </w:divBdr>
            </w:div>
            <w:div w:id="1302425255">
              <w:marLeft w:val="300"/>
              <w:marRight w:val="150"/>
              <w:marTop w:val="75"/>
              <w:marBottom w:val="0"/>
              <w:divBdr>
                <w:top w:val="none" w:sz="0" w:space="0" w:color="auto"/>
                <w:left w:val="none" w:sz="0" w:space="0" w:color="auto"/>
                <w:bottom w:val="none" w:sz="0" w:space="0" w:color="auto"/>
                <w:right w:val="none" w:sz="0" w:space="0" w:color="auto"/>
              </w:divBdr>
            </w:div>
          </w:divsChild>
        </w:div>
        <w:div w:id="1689020153">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docenti/secondo-ciclo/deliberazioni-collegiali-filiera-formativa-tecnologico-professionale-video.flc" TargetMode="External"/><Relationship Id="rId13" Type="http://schemas.openxmlformats.org/officeDocument/2006/relationships/hyperlink" Target="https://www.flcgil.it/scuola/docenti/secondo-ciclo/liceo-del-made-in-italy-a-breve-il-passaggio-in-conferenza-unificata-stato-regioni.flc" TargetMode="External"/><Relationship Id="rId18" Type="http://schemas.openxmlformats.org/officeDocument/2006/relationships/hyperlink" Target="https://www.flcgil.it/sindacato/documenti/lettere-comunicati-e-documenti/memorie-flc-cgil-audizione-del-22-maggio-2024-alla-camera-deputati-sulla-revisione-della-valutazione-delle-studentesse-e-degli-studenti.fl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lcgil.it/scuola/istituzione-della-filiera-formativa-tecnologico-professionale-consegnate-alla-vii-commissione-della-camera-dei-deputati-le-memorie-con-le-valutazioni-della-flc.flc" TargetMode="External"/><Relationship Id="rId12" Type="http://schemas.openxmlformats.org/officeDocument/2006/relationships/hyperlink" Target="https://www.flcgil.it/scuola/liceo-del-made-in-italy-consiglio-di-stato-sospende-emissione-parere.flc" TargetMode="External"/><Relationship Id="rId17" Type="http://schemas.openxmlformats.org/officeDocument/2006/relationships/hyperlink" Target="https://www.flcgil.it/scuola/approvato-senato-ddl-924-bis-valutazione-e-condotta-evidente-ideologia-scuola-della-selezione.flc" TargetMode="External"/><Relationship Id="rId2" Type="http://schemas.openxmlformats.org/officeDocument/2006/relationships/styles" Target="styles.xml"/><Relationship Id="rId16" Type="http://schemas.openxmlformats.org/officeDocument/2006/relationships/hyperlink" Target="https://www.flcgil.it/sindacato/documenti/scuola/parere-cspi-del-31-maggio-2024-schema-regolamento-definizione-quadro-orario-insegnamenti-e-specifici-risultati-apprendimento-percorso-liceo-made-in-italy.fl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lcgil.it/scuola/ddl-su-filiera-tecnologico-professionale-la-flc-e-la-cgil-contestano-metodo-e-merito.flc" TargetMode="External"/><Relationship Id="rId11" Type="http://schemas.openxmlformats.org/officeDocument/2006/relationships/hyperlink" Target="https://www.flcgil.it/files/pdf/20100315/decreto-presidente-della-repubblica-89-del-15-marzo-2010-regolamento-riordino-dei-licei-4841331.pdf" TargetMode="External"/><Relationship Id="rId5" Type="http://schemas.openxmlformats.org/officeDocument/2006/relationships/hyperlink" Target="https://www.flcgil.it/leggi-normative/documenti/leggi/legge-121-dell-8-agosto-2024-istituzione-della-filiera-formativa-tecnologico-professionale.flc" TargetMode="External"/><Relationship Id="rId15" Type="http://schemas.openxmlformats.org/officeDocument/2006/relationships/hyperlink" Target="https://www.flcgil.it/sindacato/documenti/intese-ministero-regioni/conferenza-unificata-atto-113-cu-del-12-settembre-2024-parere-su-schema-regolamento-liceo-made-in-italy.flc" TargetMode="External"/><Relationship Id="rId10" Type="http://schemas.openxmlformats.org/officeDocument/2006/relationships/hyperlink" Target="https://www.flcgil.it/scuola/liceo-del-made-in-italy-concluso-l-incontro-con-le-organizzazioni-sindacali-sul-nuovo-regolamento.flc" TargetMode="External"/><Relationship Id="rId19" Type="http://schemas.openxmlformats.org/officeDocument/2006/relationships/hyperlink" Target="https://www.flcgil.it/scuola/docenti/valutazione-condotta-flc-cgil-esprime-contro-progetto-scuola-autoritaria.flc" TargetMode="External"/><Relationship Id="rId4" Type="http://schemas.openxmlformats.org/officeDocument/2006/relationships/webSettings" Target="webSettings.xml"/><Relationship Id="rId9" Type="http://schemas.openxmlformats.org/officeDocument/2006/relationships/hyperlink" Target="https://www.flcgil.it/scuola/docenti/secondo-ciclo/filiera-tecnologico-professionale-e-liceo-del-made-in-italy-due-flop-annunciati.flc" TargetMode="External"/><Relationship Id="rId14" Type="http://schemas.openxmlformats.org/officeDocument/2006/relationships/hyperlink" Target="https://www.flcgil.it/files/pdf/20240910/parere-consiglio-di-stato-adunanza-del-27-agosto-2024-schema-dpr-regolamento-definizione-quadro-orario-insegnamenti-e-risultati-di-apprendimento-liceo-del-made-in-italy.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2371</Words>
  <Characters>13520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5</cp:revision>
  <dcterms:created xsi:type="dcterms:W3CDTF">2024-09-13T06:30:00Z</dcterms:created>
  <dcterms:modified xsi:type="dcterms:W3CDTF">2024-09-14T09:41:00Z</dcterms:modified>
</cp:coreProperties>
</file>