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4141B" w14:textId="77777777" w:rsidR="004276FC" w:rsidRPr="004276FC" w:rsidRDefault="004276FC" w:rsidP="004276FC">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4276FC">
        <w:rPr>
          <w:rFonts w:ascii="Tahoma" w:eastAsia="Times New Roman" w:hAnsi="Tahoma" w:cs="Tahoma"/>
          <w:color w:val="DC3B33"/>
          <w:kern w:val="36"/>
          <w:sz w:val="45"/>
          <w:szCs w:val="45"/>
          <w:lang w:eastAsia="it-IT"/>
          <w14:ligatures w14:val="none"/>
        </w:rPr>
        <w:t>Scuola, Fracassi: la riforma della formazione tecnologico-professionale danneggia scuola e studenti</w:t>
      </w:r>
    </w:p>
    <w:p w14:paraId="5E0428BF" w14:textId="77777777" w:rsidR="004276FC" w:rsidRPr="004276FC" w:rsidRDefault="004276FC" w:rsidP="004276FC">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4276FC">
        <w:rPr>
          <w:rFonts w:ascii="Arial" w:eastAsia="Times New Roman" w:hAnsi="Arial" w:cs="Arial"/>
          <w:color w:val="535353"/>
          <w:kern w:val="0"/>
          <w:sz w:val="27"/>
          <w:szCs w:val="27"/>
          <w:lang w:eastAsia="it-IT"/>
          <w14:ligatures w14:val="none"/>
        </w:rPr>
        <w:t>All’Italia servirebbe un piano Marshall per le conoscenze e le competenze</w:t>
      </w:r>
    </w:p>
    <w:p w14:paraId="609C1887" w14:textId="77777777" w:rsidR="004276FC" w:rsidRPr="004276FC" w:rsidRDefault="004276FC" w:rsidP="004276FC">
      <w:pPr>
        <w:shd w:val="clear" w:color="auto" w:fill="FFFFFF"/>
        <w:spacing w:after="0" w:line="240" w:lineRule="auto"/>
        <w:rPr>
          <w:rFonts w:ascii="Arial" w:eastAsia="Times New Roman" w:hAnsi="Arial" w:cs="Arial"/>
          <w:color w:val="4D4D4D"/>
          <w:kern w:val="0"/>
          <w:sz w:val="21"/>
          <w:szCs w:val="21"/>
          <w:lang w:eastAsia="it-IT"/>
          <w14:ligatures w14:val="none"/>
        </w:rPr>
      </w:pPr>
      <w:r w:rsidRPr="004276FC">
        <w:rPr>
          <w:rFonts w:ascii="Arial" w:eastAsia="Times New Roman" w:hAnsi="Arial" w:cs="Arial"/>
          <w:b/>
          <w:bCs/>
          <w:color w:val="4D4D4D"/>
          <w:kern w:val="0"/>
          <w:sz w:val="21"/>
          <w:szCs w:val="21"/>
          <w:lang w:eastAsia="it-IT"/>
          <w14:ligatures w14:val="none"/>
        </w:rPr>
        <w:t>19/09/2024</w:t>
      </w:r>
    </w:p>
    <w:p w14:paraId="143DA4A9" w14:textId="77777777" w:rsidR="004276FC" w:rsidRDefault="004276FC" w:rsidP="004276FC">
      <w:pPr>
        <w:shd w:val="clear" w:color="auto" w:fill="FFFFFF"/>
        <w:spacing w:after="225" w:line="240" w:lineRule="auto"/>
        <w:jc w:val="both"/>
        <w:rPr>
          <w:rFonts w:ascii="Arial" w:eastAsia="Times New Roman" w:hAnsi="Arial" w:cs="Arial"/>
          <w:i/>
          <w:iCs/>
          <w:color w:val="000000"/>
          <w:kern w:val="0"/>
          <w:sz w:val="21"/>
          <w:szCs w:val="21"/>
          <w:lang w:eastAsia="it-IT"/>
          <w14:ligatures w14:val="none"/>
        </w:rPr>
      </w:pPr>
    </w:p>
    <w:p w14:paraId="3D65B6F2" w14:textId="12A30D30"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i/>
          <w:iCs/>
          <w:color w:val="000000"/>
          <w:kern w:val="0"/>
          <w:sz w:val="21"/>
          <w:szCs w:val="21"/>
          <w:lang w:eastAsia="it-IT"/>
          <w14:ligatures w14:val="none"/>
        </w:rPr>
        <w:t xml:space="preserve">Dopo il liceo del Made in </w:t>
      </w:r>
      <w:proofErr w:type="spellStart"/>
      <w:r w:rsidRPr="004276FC">
        <w:rPr>
          <w:rFonts w:ascii="Arial" w:eastAsia="Times New Roman" w:hAnsi="Arial" w:cs="Arial"/>
          <w:i/>
          <w:iCs/>
          <w:color w:val="000000"/>
          <w:kern w:val="0"/>
          <w:sz w:val="21"/>
          <w:szCs w:val="21"/>
          <w:lang w:eastAsia="it-IT"/>
          <w14:ligatures w14:val="none"/>
        </w:rPr>
        <w:t>Italy</w:t>
      </w:r>
      <w:proofErr w:type="spellEnd"/>
      <w:r w:rsidRPr="004276FC">
        <w:rPr>
          <w:rFonts w:ascii="Arial" w:eastAsia="Times New Roman" w:hAnsi="Arial" w:cs="Arial"/>
          <w:i/>
          <w:iCs/>
          <w:color w:val="000000"/>
          <w:kern w:val="0"/>
          <w:sz w:val="21"/>
          <w:szCs w:val="21"/>
          <w:lang w:eastAsia="it-IT"/>
          <w14:ligatures w14:val="none"/>
        </w:rPr>
        <w:t xml:space="preserve">, il ministero dell’Istruzione e del Merito vara la legge dell’8 agosto 2024, n. 121, sull’Istituzione della filiera formativa tecnologico-professionale: un nuovo corso di istruzione secondaria della durata di quattro anni con una forte vocazione alla professionalizzazione degli studenti. L’impresa entra nella scuola e sale letteralmente in cattedra, prendendo il posto e il tempo della didattica canonicamente intesa per formare i lavoratori del futuro. Una legge che, però, ha riscosso poco successo tra gli studenti e i dirigenti scolastici e che il sindacato contesta aspramente. Ne parla in questa intervista a Il diario del lavoro la segretaria generale della </w:t>
      </w:r>
      <w:proofErr w:type="spellStart"/>
      <w:r w:rsidRPr="004276FC">
        <w:rPr>
          <w:rFonts w:ascii="Arial" w:eastAsia="Times New Roman" w:hAnsi="Arial" w:cs="Arial"/>
          <w:i/>
          <w:iCs/>
          <w:color w:val="000000"/>
          <w:kern w:val="0"/>
          <w:sz w:val="21"/>
          <w:szCs w:val="21"/>
          <w:lang w:eastAsia="it-IT"/>
          <w14:ligatures w14:val="none"/>
        </w:rPr>
        <w:t>Flc</w:t>
      </w:r>
      <w:proofErr w:type="spellEnd"/>
      <w:r w:rsidRPr="004276FC">
        <w:rPr>
          <w:rFonts w:ascii="Arial" w:eastAsia="Times New Roman" w:hAnsi="Arial" w:cs="Arial"/>
          <w:i/>
          <w:iCs/>
          <w:color w:val="000000"/>
          <w:kern w:val="0"/>
          <w:sz w:val="21"/>
          <w:szCs w:val="21"/>
          <w:lang w:eastAsia="it-IT"/>
          <w14:ligatures w14:val="none"/>
        </w:rPr>
        <w:t>-Cgil, Gianna Fracassi.</w:t>
      </w:r>
    </w:p>
    <w:p w14:paraId="02284041"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b/>
          <w:bCs/>
          <w:color w:val="000000"/>
          <w:kern w:val="0"/>
          <w:sz w:val="21"/>
          <w:szCs w:val="21"/>
          <w:lang w:eastAsia="it-IT"/>
          <w14:ligatures w14:val="none"/>
        </w:rPr>
        <w:t>A fine agosto è stata pubblicata in gazzetta ufficiale la legge per l’Istituzione della filiera formativa tecnologico-professionale. Di cosa si tratta?</w:t>
      </w:r>
    </w:p>
    <w:p w14:paraId="5D35A506"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color w:val="000000"/>
          <w:kern w:val="0"/>
          <w:sz w:val="21"/>
          <w:szCs w:val="21"/>
          <w:lang w:eastAsia="it-IT"/>
          <w14:ligatures w14:val="none"/>
        </w:rPr>
        <w:t>La legge prevede l’istituzione di una sperimentazione di percorsi sulla filiera tecnologica professionale che hanno una durata quadriennale, quindi ridotta di un anno, al termine dei quali c’è la possibilità di ingresso negli ITS – come già oggi è possibile per coloro che finiscono il quinquennio. Il vero tema è la riduzione di un anno di questi percorsi. Sul versante ordinamentale, invece, vi è una forte presenza dei PCTO, ex alternanza scuola-lavoro, con un aumento delle ore di formazione, ma con un raccordo molto forte con le imprese e con addirittura la possibilità di utilizzo, per una parte dell’orario di insegnamento curricolare, dei cosiddetti esperti provenienti dal mondo del lavoro e delle professioni.</w:t>
      </w:r>
    </w:p>
    <w:p w14:paraId="6E08C5D9"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b/>
          <w:bCs/>
          <w:color w:val="000000"/>
          <w:kern w:val="0"/>
          <w:sz w:val="21"/>
          <w:szCs w:val="21"/>
          <w:lang w:eastAsia="it-IT"/>
          <w14:ligatures w14:val="none"/>
        </w:rPr>
        <w:t xml:space="preserve">La </w:t>
      </w:r>
      <w:proofErr w:type="spellStart"/>
      <w:r w:rsidRPr="004276FC">
        <w:rPr>
          <w:rFonts w:ascii="Arial" w:eastAsia="Times New Roman" w:hAnsi="Arial" w:cs="Arial"/>
          <w:b/>
          <w:bCs/>
          <w:color w:val="000000"/>
          <w:kern w:val="0"/>
          <w:sz w:val="21"/>
          <w:szCs w:val="21"/>
          <w:lang w:eastAsia="it-IT"/>
          <w14:ligatures w14:val="none"/>
        </w:rPr>
        <w:t>Flc</w:t>
      </w:r>
      <w:proofErr w:type="spellEnd"/>
      <w:r w:rsidRPr="004276FC">
        <w:rPr>
          <w:rFonts w:ascii="Arial" w:eastAsia="Times New Roman" w:hAnsi="Arial" w:cs="Arial"/>
          <w:b/>
          <w:bCs/>
          <w:color w:val="000000"/>
          <w:kern w:val="0"/>
          <w:sz w:val="21"/>
          <w:szCs w:val="21"/>
          <w:lang w:eastAsia="it-IT"/>
          <w14:ligatures w14:val="none"/>
        </w:rPr>
        <w:t>, così come gli stessi collegi dei docenti, hanno espresso una posizione particolarmente critica a riguardo. Perché?</w:t>
      </w:r>
    </w:p>
    <w:p w14:paraId="619B1189"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color w:val="000000"/>
          <w:kern w:val="0"/>
          <w:sz w:val="21"/>
          <w:szCs w:val="21"/>
          <w:lang w:eastAsia="it-IT"/>
          <w14:ligatures w14:val="none"/>
        </w:rPr>
        <w:t>Questa operazione è fatta in raccordo con le imprese del territorio attraverso il cosiddetto campus, una specie di “punto organizzato”, che tra l’altro si sovrapporrà al ruolo degli organi collegiali. Come sindacato troviamo che tale impostazione sia particolarmente dannosa sotto molti punti di vista. Il primo è che c’è una piegatura, una modifica dei curricoli, legata alle esigenze attuali del singolo territorio, quindi un’operazione che prepara gli studenti al mondo del lavoro di oggi ma non fornisce competenze per il mondo del lavoro di domani, cosa che effettivamente dovrebbe fare la scuola. È un’operazione che rischia di trasformare gli istituti tecnici e professionali in percorsi preparatori orientati solo ed esclusivamente all’occupabilità nel presente. Noi crediamo che questo non sia il ruolo della scuola: è sicuramente importante preparare le ragazze e i ragazzi all’ingresso nel mondo del lavoro, ma piegare una parte consistente del curricolo per addestrarli alle esigenze produttive delle imprese in un determinato territorio rischia di mettere fuori gioco questi stessi ragazze e ragazzi nel momento in cui c’è una trasformazione che riguarda gli assetti produttivi. Una cosa è favorire il percorso biennale degli ITS e introdurre degli elementi legati alle esigenze del mondo del lavoro di quel territorio, ma nel caso della filiera formativa tecnologico-professionale siamo in una fase anticipata che si colloca comunque all’interno di un quadro di riferimento legato all’obbligo formativo e di istruzione. In questo modo viene snaturato anche il ruolo e la funzione del percorso di istruzione statale.</w:t>
      </w:r>
    </w:p>
    <w:p w14:paraId="14FCB0C7"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b/>
          <w:bCs/>
          <w:color w:val="000000"/>
          <w:kern w:val="0"/>
          <w:sz w:val="21"/>
          <w:szCs w:val="21"/>
          <w:lang w:eastAsia="it-IT"/>
          <w14:ligatures w14:val="none"/>
        </w:rPr>
        <w:t>Ma cosa comporta l’abbassamento a 4 anni della formazione scolastica</w:t>
      </w:r>
      <w:r w:rsidRPr="004276FC">
        <w:rPr>
          <w:rFonts w:ascii="Arial" w:eastAsia="Times New Roman" w:hAnsi="Arial" w:cs="Arial"/>
          <w:color w:val="000000"/>
          <w:kern w:val="0"/>
          <w:sz w:val="21"/>
          <w:szCs w:val="21"/>
          <w:lang w:eastAsia="it-IT"/>
          <w14:ligatures w14:val="none"/>
        </w:rPr>
        <w:t>?</w:t>
      </w:r>
    </w:p>
    <w:p w14:paraId="3D168D5F"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color w:val="000000"/>
          <w:kern w:val="0"/>
          <w:sz w:val="21"/>
          <w:szCs w:val="21"/>
          <w:lang w:eastAsia="it-IT"/>
          <w14:ligatures w14:val="none"/>
        </w:rPr>
        <w:t xml:space="preserve">Della riduzione di un anno non si comprende l’obiettivo. In un contesto in cui i dati Ocse ci dicono che abbiamo un livello di conoscenze e competenze mediamente più basso, nonché uno scarso numero di laureati, questo percorso non è di certo un incentivo a proseguire gli studi all’interno dell’università. È vero che stiamo parlando di filiere che tradizionalmente offrono meno iscritti all’università, ma comunque un 30% proviene dagli istituti tecnici. Un’operazione di questo tipo – che riduce di un anno il percorso formativo e che abbatte una parte di curricolo – rischia in qualche modo di depotenziare anche la </w:t>
      </w:r>
      <w:r w:rsidRPr="004276FC">
        <w:rPr>
          <w:rFonts w:ascii="Arial" w:eastAsia="Times New Roman" w:hAnsi="Arial" w:cs="Arial"/>
          <w:color w:val="000000"/>
          <w:kern w:val="0"/>
          <w:sz w:val="21"/>
          <w:szCs w:val="21"/>
          <w:lang w:eastAsia="it-IT"/>
          <w14:ligatures w14:val="none"/>
        </w:rPr>
        <w:lastRenderedPageBreak/>
        <w:t>possibilità di accesso al percorso universitario. Se è necessario innalzare i livelli di conoscenze e di competenze, come sottolinea anche l’Ocse, allora non si comprende perché si debba tagliare di un anno la scuola secondaria di secondo grado. Tra l’altro, comprimendo gli attuali programmi all’interno di un quadriennio, la parte che verrà sacrificata sarà quella umanistica facendo venir meno un equilibrio formativo indispensabile. Questi percorsi così appiattiti sull’oggi lavorativo sono pericolosi anche perché rischiano di far acquisire ai ragazzi e alle ragazze conoscenze e competenze facilmente obsolescenti e non è questo quello che dovrebbe fare il percorso di istruzione soprattutto in una fase anche di cambiamento profondo come quello a cui stiamo assistendo. Insomma: con meno scuola e ingresso forzoso dell’impresa, addirittura anche nella definizione del curricolo e nella docenza, assisteremo a un’operazione di destrutturazione di una filiera molto importante per il nostro Paese, che ne ha consentito lo sviluppo economico. È quindi una scelta sbagliata.</w:t>
      </w:r>
    </w:p>
    <w:p w14:paraId="253A4F81"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b/>
          <w:bCs/>
          <w:color w:val="000000"/>
          <w:kern w:val="0"/>
          <w:sz w:val="21"/>
          <w:szCs w:val="21"/>
          <w:lang w:eastAsia="it-IT"/>
          <w14:ligatures w14:val="none"/>
        </w:rPr>
        <w:t>Il ministro Valditara ha aggettivato come “comunisti” coloro che prendono posizione contraria a questo tipo di riforme. Cosa si risponde?</w:t>
      </w:r>
    </w:p>
    <w:p w14:paraId="4908C11C"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color w:val="000000"/>
          <w:kern w:val="0"/>
          <w:sz w:val="21"/>
          <w:szCs w:val="21"/>
          <w:lang w:eastAsia="it-IT"/>
          <w14:ligatures w14:val="none"/>
        </w:rPr>
        <w:t>Quando a un’obiezione di merito si risponde con un’affermazione che per lui evidentemente è un insulto, vuol dire che non ha argomenti. A parte il fatto che con questa riforma si anticipa addirittura di un anno l’alternanza scuola lavoro, visto che gli studenti vi accedono a 15 anni, il ministro Valditara non sa di che parla dal punto di vista storico. Per quanto riguarda la Cgil, la nostra organizzazione ha sempre valorizzato, sia nelle proposte che nelle scelte, la cultura del lavoro nella scuola, ma questa non è cultura del lavoro, è addestramento al lavoro: l’operazione che viene fatta è di tipo ideologico, anche arretrata dal punto di vista dello sviluppo se si guardano alle necessità di un futuro lavoratore. Qualche anno fa la Commissione europea rilasciò uno studio sulla necessità di qualificazione dei lavoratori e delle lavoratrici da cui emergeva il fatto che la metà degli impiegati in Europa avrebbe avuto bisogno di urgenti interventi per rafforzare competenze e conoscenze a rapido rischio di obsolescenza. In un contesto come questo, tra l’altro ribadito anche da Mario Draghi nel rapporto sulla competitività, si può pensare che sia giusta la scelta di abbassare ulteriormente conoscenze e competenze? Se ci si specializza e si settano le proprie conoscenze senza competenze di base molto forti che consentano anche capacità di autoaggiornamento e riqualificazione costanti, questi profili saranno i primi ad aver bisogno di ricollocazione in un mondo del lavoro che cambia molto rapidamente. Quindi la riforma è sbagliata proprio concettualmente.</w:t>
      </w:r>
    </w:p>
    <w:p w14:paraId="6FE52051"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b/>
          <w:bCs/>
          <w:color w:val="000000"/>
          <w:kern w:val="0"/>
          <w:sz w:val="21"/>
          <w:szCs w:val="21"/>
          <w:lang w:eastAsia="it-IT"/>
          <w14:ligatures w14:val="none"/>
        </w:rPr>
        <w:t xml:space="preserve">D’altra parte la comunità industriale, soprattutto delle filiere ad alta specializzazione, </w:t>
      </w:r>
      <w:proofErr w:type="gramStart"/>
      <w:r w:rsidRPr="004276FC">
        <w:rPr>
          <w:rFonts w:ascii="Arial" w:eastAsia="Times New Roman" w:hAnsi="Arial" w:cs="Arial"/>
          <w:b/>
          <w:bCs/>
          <w:color w:val="000000"/>
          <w:kern w:val="0"/>
          <w:sz w:val="21"/>
          <w:szCs w:val="21"/>
          <w:lang w:eastAsia="it-IT"/>
          <w14:ligatures w14:val="none"/>
        </w:rPr>
        <w:t>invocano</w:t>
      </w:r>
      <w:proofErr w:type="gramEnd"/>
      <w:r w:rsidRPr="004276FC">
        <w:rPr>
          <w:rFonts w:ascii="Arial" w:eastAsia="Times New Roman" w:hAnsi="Arial" w:cs="Arial"/>
          <w:b/>
          <w:bCs/>
          <w:color w:val="000000"/>
          <w:kern w:val="0"/>
          <w:sz w:val="21"/>
          <w:szCs w:val="21"/>
          <w:lang w:eastAsia="it-IT"/>
          <w14:ligatures w14:val="none"/>
        </w:rPr>
        <w:t xml:space="preserve"> una preparazione che non sia limitata alle sole competenze tecniche.</w:t>
      </w:r>
    </w:p>
    <w:p w14:paraId="4415B8C3"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color w:val="000000"/>
          <w:kern w:val="0"/>
          <w:sz w:val="21"/>
          <w:szCs w:val="21"/>
          <w:lang w:eastAsia="it-IT"/>
          <w14:ligatures w14:val="none"/>
        </w:rPr>
        <w:t>Certo. Bisognerebbe mettere in campo un piano Marshall delle conoscenze e delle competenze, un grande sforzo come è stato compiuto in un altro passaggio economico importante nella storia del paese. Negli anni ’60, infatti, la scelta fu di innalzare a 13 anni, dopo le scuole medie, l’obbligo scolastico per favorire i percorsi successivi. Oggi non si sta compiendo una scelta analoga, il che è francamente incomprensibile soprattutto se guardiamo alle due grandi traiettorie di sviluppo che sono la digitalizzazione e la decarbonizzazione. Sono tutte traiettorie che comportano una trasformazione molto forte anche in settori labour intensive e per profili con qualificazione medio bassa, per i quali occorre avere capacità e conoscenze sicuramente più elevate. È qui che avanziamo la critica a questo tipo di interventi.</w:t>
      </w:r>
    </w:p>
    <w:p w14:paraId="105DFC11"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b/>
          <w:bCs/>
          <w:color w:val="000000"/>
          <w:kern w:val="0"/>
          <w:sz w:val="21"/>
          <w:szCs w:val="21"/>
          <w:lang w:eastAsia="it-IT"/>
          <w14:ligatures w14:val="none"/>
        </w:rPr>
        <w:t>Secondo la legge alle regioni spettano i compiti di programmazione dei percorsi della filiera e di definizione delle sue modalità realizzative. Si tratta di una regionalizzazione ulteriore dell’istruzione?</w:t>
      </w:r>
    </w:p>
    <w:p w14:paraId="009BC8E2"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color w:val="000000"/>
          <w:kern w:val="0"/>
          <w:sz w:val="21"/>
          <w:szCs w:val="21"/>
          <w:lang w:eastAsia="it-IT"/>
          <w14:ligatures w14:val="none"/>
        </w:rPr>
        <w:t>Questo disegno di legge è sicuramente l’anticipo del percorso dell’autonomia differenziata ed è stato pensato in quella prospettiva.</w:t>
      </w:r>
    </w:p>
    <w:p w14:paraId="73763C1F"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b/>
          <w:bCs/>
          <w:color w:val="000000"/>
          <w:kern w:val="0"/>
          <w:sz w:val="21"/>
          <w:szCs w:val="21"/>
          <w:lang w:eastAsia="it-IT"/>
          <w14:ligatures w14:val="none"/>
        </w:rPr>
        <w:t>A tal proposito sorprende il caso della Calabria che, a differenza di altre regioni del meridione, ha ricevuto le adesioni di 25 istituti ma non un numero sufficiente di ITS per la formazione successiva. Come si spiega?</w:t>
      </w:r>
    </w:p>
    <w:p w14:paraId="19ED700B"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color w:val="000000"/>
          <w:kern w:val="0"/>
          <w:sz w:val="21"/>
          <w:szCs w:val="21"/>
          <w:lang w:eastAsia="it-IT"/>
          <w14:ligatures w14:val="none"/>
        </w:rPr>
        <w:t xml:space="preserve">La spiego soltanto con una forte pressione del Ministero in alcuni territori ed anche con il favore dei dirigenti scolastici, ma non tra il personale. Il paradosso è che la Calabria ha avuto in percentuale più adesioni della Lombardia, quando è evidente che questo progetto è pensato esattamente per le regioni produttive del Nord. Quindi questo non mi sembra un successo, perché per quei territori dove si </w:t>
      </w:r>
      <w:r w:rsidRPr="004276FC">
        <w:rPr>
          <w:rFonts w:ascii="Arial" w:eastAsia="Times New Roman" w:hAnsi="Arial" w:cs="Arial"/>
          <w:color w:val="000000"/>
          <w:kern w:val="0"/>
          <w:sz w:val="21"/>
          <w:szCs w:val="21"/>
          <w:lang w:eastAsia="it-IT"/>
          <w14:ligatures w14:val="none"/>
        </w:rPr>
        <w:lastRenderedPageBreak/>
        <w:t xml:space="preserve">immaginava un forte sviluppo non c’è stato nessun riscontro ed evidentemente non serve neanche </w:t>
      </w:r>
      <w:proofErr w:type="gramStart"/>
      <w:r w:rsidRPr="004276FC">
        <w:rPr>
          <w:rFonts w:ascii="Arial" w:eastAsia="Times New Roman" w:hAnsi="Arial" w:cs="Arial"/>
          <w:color w:val="000000"/>
          <w:kern w:val="0"/>
          <w:sz w:val="21"/>
          <w:szCs w:val="21"/>
          <w:lang w:eastAsia="it-IT"/>
          <w14:ligatures w14:val="none"/>
        </w:rPr>
        <w:t>alla imprese</w:t>
      </w:r>
      <w:proofErr w:type="gramEnd"/>
      <w:r w:rsidRPr="004276FC">
        <w:rPr>
          <w:rFonts w:ascii="Arial" w:eastAsia="Times New Roman" w:hAnsi="Arial" w:cs="Arial"/>
          <w:color w:val="000000"/>
          <w:kern w:val="0"/>
          <w:sz w:val="21"/>
          <w:szCs w:val="21"/>
          <w:lang w:eastAsia="it-IT"/>
          <w14:ligatures w14:val="none"/>
        </w:rPr>
        <w:t xml:space="preserve"> di quei territori.</w:t>
      </w:r>
    </w:p>
    <w:p w14:paraId="44F021E6"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b/>
          <w:bCs/>
          <w:color w:val="000000"/>
          <w:kern w:val="0"/>
          <w:sz w:val="21"/>
          <w:szCs w:val="21"/>
          <w:lang w:eastAsia="it-IT"/>
          <w14:ligatures w14:val="none"/>
        </w:rPr>
        <w:t xml:space="preserve">Sia la filiera formativa tecnologico-professionale che il Liceo del Made in </w:t>
      </w:r>
      <w:proofErr w:type="spellStart"/>
      <w:r w:rsidRPr="004276FC">
        <w:rPr>
          <w:rFonts w:ascii="Arial" w:eastAsia="Times New Roman" w:hAnsi="Arial" w:cs="Arial"/>
          <w:b/>
          <w:bCs/>
          <w:color w:val="000000"/>
          <w:kern w:val="0"/>
          <w:sz w:val="21"/>
          <w:szCs w:val="21"/>
          <w:lang w:eastAsia="it-IT"/>
          <w14:ligatures w14:val="none"/>
        </w:rPr>
        <w:t>Italy</w:t>
      </w:r>
      <w:proofErr w:type="spellEnd"/>
      <w:r w:rsidRPr="004276FC">
        <w:rPr>
          <w:rFonts w:ascii="Arial" w:eastAsia="Times New Roman" w:hAnsi="Arial" w:cs="Arial"/>
          <w:b/>
          <w:bCs/>
          <w:color w:val="000000"/>
          <w:kern w:val="0"/>
          <w:sz w:val="21"/>
          <w:szCs w:val="21"/>
          <w:lang w:eastAsia="it-IT"/>
          <w14:ligatures w14:val="none"/>
        </w:rPr>
        <w:t>, le due più recenti conquiste nel campo dell’istruzione, hanno ricevuto pochissime adesioni, rispettivamente 1.669 e 375 iscrizioni. Cosa dimostrano questi numeri?</w:t>
      </w:r>
    </w:p>
    <w:p w14:paraId="4B514E78"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color w:val="000000"/>
          <w:kern w:val="0"/>
          <w:sz w:val="21"/>
          <w:szCs w:val="21"/>
          <w:lang w:eastAsia="it-IT"/>
          <w14:ligatures w14:val="none"/>
        </w:rPr>
        <w:t xml:space="preserve">Il liceo del Made in </w:t>
      </w:r>
      <w:proofErr w:type="spellStart"/>
      <w:r w:rsidRPr="004276FC">
        <w:rPr>
          <w:rFonts w:ascii="Arial" w:eastAsia="Times New Roman" w:hAnsi="Arial" w:cs="Arial"/>
          <w:color w:val="000000"/>
          <w:kern w:val="0"/>
          <w:sz w:val="21"/>
          <w:szCs w:val="21"/>
          <w:lang w:eastAsia="it-IT"/>
          <w14:ligatures w14:val="none"/>
        </w:rPr>
        <w:t>Italy</w:t>
      </w:r>
      <w:proofErr w:type="spellEnd"/>
      <w:r w:rsidRPr="004276FC">
        <w:rPr>
          <w:rFonts w:ascii="Arial" w:eastAsia="Times New Roman" w:hAnsi="Arial" w:cs="Arial"/>
          <w:color w:val="000000"/>
          <w:kern w:val="0"/>
          <w:sz w:val="21"/>
          <w:szCs w:val="21"/>
          <w:lang w:eastAsia="it-IT"/>
          <w14:ligatures w14:val="none"/>
        </w:rPr>
        <w:t xml:space="preserve"> è una sorta di mozione dello spirito, perché nella pratica nessuno ha capito che cosa sia esattamente. L’altro fatto molto grave, almeno per quest’anno scolastico, è la </w:t>
      </w:r>
      <w:proofErr w:type="spellStart"/>
      <w:r w:rsidRPr="004276FC">
        <w:rPr>
          <w:rFonts w:ascii="Arial" w:eastAsia="Times New Roman" w:hAnsi="Arial" w:cs="Arial"/>
          <w:color w:val="000000"/>
          <w:kern w:val="0"/>
          <w:sz w:val="21"/>
          <w:szCs w:val="21"/>
          <w:lang w:eastAsia="it-IT"/>
          <w14:ligatures w14:val="none"/>
        </w:rPr>
        <w:t>sostitutituzione</w:t>
      </w:r>
      <w:proofErr w:type="spellEnd"/>
      <w:r w:rsidRPr="004276FC">
        <w:rPr>
          <w:rFonts w:ascii="Arial" w:eastAsia="Times New Roman" w:hAnsi="Arial" w:cs="Arial"/>
          <w:color w:val="000000"/>
          <w:kern w:val="0"/>
          <w:sz w:val="21"/>
          <w:szCs w:val="21"/>
          <w:lang w:eastAsia="it-IT"/>
          <w14:ligatures w14:val="none"/>
        </w:rPr>
        <w:t xml:space="preserve"> di questo indirizzo con un preesistente corso del liceo economico sociale, indirizzo che riscuote, invece, un buon successo di iscrizioni. Il progetto per il liceo del Made in </w:t>
      </w:r>
      <w:proofErr w:type="spellStart"/>
      <w:r w:rsidRPr="004276FC">
        <w:rPr>
          <w:rFonts w:ascii="Arial" w:eastAsia="Times New Roman" w:hAnsi="Arial" w:cs="Arial"/>
          <w:color w:val="000000"/>
          <w:kern w:val="0"/>
          <w:sz w:val="21"/>
          <w:szCs w:val="21"/>
          <w:lang w:eastAsia="it-IT"/>
          <w14:ligatures w14:val="none"/>
        </w:rPr>
        <w:t>Italy</w:t>
      </w:r>
      <w:proofErr w:type="spellEnd"/>
      <w:r w:rsidRPr="004276FC">
        <w:rPr>
          <w:rFonts w:ascii="Arial" w:eastAsia="Times New Roman" w:hAnsi="Arial" w:cs="Arial"/>
          <w:color w:val="000000"/>
          <w:kern w:val="0"/>
          <w:sz w:val="21"/>
          <w:szCs w:val="21"/>
          <w:lang w:eastAsia="it-IT"/>
          <w14:ligatures w14:val="none"/>
        </w:rPr>
        <w:t xml:space="preserve"> è stato presentato solo per il biennio senza neanche paventare che cosa sarebbe poi accaduto nel triennio. È un salto nel buio e stiamo parlando di un percorso di istruzione, non una banalità. I numeri dimostrano il fatto che l’utenza, gli studenti e le famiglie, sono poco interessati: 375 alunni per il Made in </w:t>
      </w:r>
      <w:proofErr w:type="spellStart"/>
      <w:r w:rsidRPr="004276FC">
        <w:rPr>
          <w:rFonts w:ascii="Arial" w:eastAsia="Times New Roman" w:hAnsi="Arial" w:cs="Arial"/>
          <w:color w:val="000000"/>
          <w:kern w:val="0"/>
          <w:sz w:val="21"/>
          <w:szCs w:val="21"/>
          <w:lang w:eastAsia="it-IT"/>
          <w14:ligatures w14:val="none"/>
        </w:rPr>
        <w:t>Italy</w:t>
      </w:r>
      <w:proofErr w:type="spellEnd"/>
      <w:r w:rsidRPr="004276FC">
        <w:rPr>
          <w:rFonts w:ascii="Arial" w:eastAsia="Times New Roman" w:hAnsi="Arial" w:cs="Arial"/>
          <w:color w:val="000000"/>
          <w:kern w:val="0"/>
          <w:sz w:val="21"/>
          <w:szCs w:val="21"/>
          <w:lang w:eastAsia="it-IT"/>
          <w14:ligatures w14:val="none"/>
        </w:rPr>
        <w:t xml:space="preserve"> su 114 scuole quindi vuol dire tre alunni a scuola. Per la filiera della formazione tecnologico-professionale hanno dovuto inserire una buona parte di scuole paritarie in Italia e all’estero, per ingrossare i numeri. Tra le altre, infatti, ha aderito anche una scuola paritaria dell’Egitto, quindi forse è un progetto che va forte oltremare.</w:t>
      </w:r>
    </w:p>
    <w:p w14:paraId="093C2A3D"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b/>
          <w:bCs/>
          <w:color w:val="000000"/>
          <w:kern w:val="0"/>
          <w:sz w:val="21"/>
          <w:szCs w:val="21"/>
          <w:lang w:eastAsia="it-IT"/>
          <w14:ligatures w14:val="none"/>
        </w:rPr>
        <w:t>Ma quindi qual è il fine di queste riforme?</w:t>
      </w:r>
    </w:p>
    <w:p w14:paraId="642D1510"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color w:val="000000"/>
          <w:kern w:val="0"/>
          <w:sz w:val="21"/>
          <w:szCs w:val="21"/>
          <w:lang w:eastAsia="it-IT"/>
          <w14:ligatures w14:val="none"/>
        </w:rPr>
        <w:t>È un assalto alla secondaria finalizzato alla privatizzazione di un pezzo della scuola, perché l’ingresso dei privati va in questa direzione. Penso che dimostri anche che al governo non interessi assolutamente nulla della scuola, che abbia un’impostazione ideologica sul sistema di istruzione e che non conosca neppure che cosa significhi il termine condivisione. Prova ne sono, da ultimo, le linee guida sull’educazione civica che non sono nate, appunto, da una condivisione con chi nelle scuole vive e lavora quotidianamente. Inoltre, penso anche che al Governo importi poco anche dello sviluppo economico del nostro Paese perché profondamente ancorato a una visione vecchissima di quello che realmente serve all’Italia – tant’è che non si parla neppure di politiche industriali e di politiche di sviluppo, che sono fondamentali anche per ridisegnare un modello di sistema di istruzione. Si stanno facendo gravi danni alla scuola, che, per quanto ci riguarda, noi abbiamo contrastato e continueremo a contrastare</w:t>
      </w:r>
    </w:p>
    <w:p w14:paraId="308DFBC7"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b/>
          <w:bCs/>
          <w:color w:val="000000"/>
          <w:kern w:val="0"/>
          <w:sz w:val="21"/>
          <w:szCs w:val="21"/>
          <w:lang w:eastAsia="it-IT"/>
          <w14:ligatures w14:val="none"/>
        </w:rPr>
        <w:t>In generale crede che la scuola italiana avrebbe bisogno di un aggiornamento dei percorsi didattici e formativi?</w:t>
      </w:r>
    </w:p>
    <w:p w14:paraId="5200C986"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color w:val="000000"/>
          <w:kern w:val="0"/>
          <w:sz w:val="21"/>
          <w:szCs w:val="21"/>
          <w:lang w:eastAsia="it-IT"/>
          <w14:ligatures w14:val="none"/>
        </w:rPr>
        <w:t>Assolutamente sì, ma bisogna evitare che gli interventi vengano fatti con l’idea di fondo di fare un’operazione di taglio o, peggio ancora, calata dall’alto. Noi abbiamo assistito alla riforma Gelmini, che ha usato i progetti di riforma per adeguarci al taglio antecedente di 8 miliardi di euro nel 2009 e oggi sembra di assistere alla stessa trama. A mio parere il primo cambiamento riguarda il percorso scolastico obbligatorio per i ragazzi, che dovrebbe essere elevato almeno fino a 18 anni; c’è bisogno di cambiare modelli di didattica, il che comporta avere meno alunni per classe; bisogna probabilmente rivedere i curricoli, potenziare anche la parte di materie elettive che i ragazzi possono scegliere e avere anche momenti che non siano solo di apprendimenti formali ma anche, utili per capire che cosa vogliono fare, non solo attraverso il tutor orientatore, purché individuato tra i docenti del consiglio di classe, ma anche attraverso le materie che orientano. Quindi sì, servono delle riforme importanti, ma non mi sembra che siamo nelle condizioni né politiche, né tantomeno economiche per attuarle proficuamente. Anzi, il timore è che il quadro economico che si sta costruendo con la manovra e con l’adesione al patto di stabilità europeo, comporterà per il nostro Paese ulteriori risorse da tagliare infierendo, inevitabilmente, anche sui sistemi d’istruzione.</w:t>
      </w:r>
    </w:p>
    <w:p w14:paraId="033FF76B"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b/>
          <w:bCs/>
          <w:color w:val="000000"/>
          <w:kern w:val="0"/>
          <w:sz w:val="21"/>
          <w:szCs w:val="21"/>
          <w:lang w:eastAsia="it-IT"/>
          <w14:ligatures w14:val="none"/>
        </w:rPr>
        <w:t>Fronte lavoro, invece, qual è il tema più urgente?</w:t>
      </w:r>
    </w:p>
    <w:p w14:paraId="48038043" w14:textId="77777777" w:rsidR="004276FC" w:rsidRPr="004276FC" w:rsidRDefault="004276FC"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color w:val="000000"/>
          <w:kern w:val="0"/>
          <w:sz w:val="21"/>
          <w:szCs w:val="21"/>
          <w:lang w:eastAsia="it-IT"/>
          <w14:ligatures w14:val="none"/>
        </w:rPr>
        <w:t xml:space="preserve">I salari di chi nella scuola ci lavora, perché ogni processo di riqualificazione richiede un adeguamento stipendiale decente, come certifica anche l’Ocse. Noi lo diciamo da tanto tempo, consapevoli del fatto che a un certo punto si è persino bloccata per dieci anni, dal 2008 al 2018, la possibilità di avere dei rinnovi contrattuali. Queste cose non accadono per caso, per cui ci sono responsabilità e responsabili. Anche se Valditara contesta i nostri numeri, una figura su quattro, tra docenti e ATA (complessivamente parliamo di 250.000 lavoratrici e lavoratori) è precario per effetto di riforme che mettono le persone le une contro le altre – come accaduto, ad esempio, sulla questione dei concorsi e dei titoli. A fronte di ciò, non si può pensare che il sistema non ne risenta, al di là dell’entusiasmo delle tante persone che lavorano </w:t>
      </w:r>
      <w:r w:rsidRPr="004276FC">
        <w:rPr>
          <w:rFonts w:ascii="Arial" w:eastAsia="Times New Roman" w:hAnsi="Arial" w:cs="Arial"/>
          <w:color w:val="000000"/>
          <w:kern w:val="0"/>
          <w:sz w:val="21"/>
          <w:szCs w:val="21"/>
          <w:lang w:eastAsia="it-IT"/>
          <w14:ligatures w14:val="none"/>
        </w:rPr>
        <w:lastRenderedPageBreak/>
        <w:t>nella scuola. Perché in queste condizioni l’entusiasmo scema, soprattutto quando mancano le certezze rispetto al percorso di lavoro intrapreso.</w:t>
      </w:r>
    </w:p>
    <w:p w14:paraId="12DAFDA5" w14:textId="77777777" w:rsidR="00A54AAA" w:rsidRPr="00A54AAA" w:rsidRDefault="00A54AAA" w:rsidP="00A54AAA">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A54AAA">
        <w:rPr>
          <w:rFonts w:ascii="Tahoma" w:eastAsia="Times New Roman" w:hAnsi="Tahoma" w:cs="Tahoma"/>
          <w:color w:val="DC3B33"/>
          <w:kern w:val="36"/>
          <w:sz w:val="45"/>
          <w:szCs w:val="45"/>
          <w:lang w:eastAsia="it-IT"/>
          <w14:ligatures w14:val="none"/>
        </w:rPr>
        <w:t>Lavoratori ATA sottopagati e invisibili, serve aumento stipendi e organici</w:t>
      </w:r>
    </w:p>
    <w:p w14:paraId="76416F71" w14:textId="77777777" w:rsidR="00A54AAA" w:rsidRPr="00A54AAA" w:rsidRDefault="00A54AAA" w:rsidP="00A54AAA">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A54AAA">
        <w:rPr>
          <w:rFonts w:ascii="Arial" w:eastAsia="Times New Roman" w:hAnsi="Arial" w:cs="Arial"/>
          <w:color w:val="535353"/>
          <w:kern w:val="0"/>
          <w:sz w:val="27"/>
          <w:szCs w:val="27"/>
          <w:lang w:eastAsia="it-IT"/>
          <w14:ligatures w14:val="none"/>
        </w:rPr>
        <w:t>Comunicato stampa della Federazione Lavoratori della Conoscenza CGIL</w:t>
      </w:r>
    </w:p>
    <w:p w14:paraId="475D2D59" w14:textId="77777777" w:rsidR="00A54AAA" w:rsidRPr="00A54AAA" w:rsidRDefault="00A54AAA" w:rsidP="00A54AAA">
      <w:pPr>
        <w:shd w:val="clear" w:color="auto" w:fill="FFFFFF"/>
        <w:spacing w:after="0" w:line="240" w:lineRule="auto"/>
        <w:rPr>
          <w:rFonts w:ascii="Arial" w:eastAsia="Times New Roman" w:hAnsi="Arial" w:cs="Arial"/>
          <w:color w:val="4D4D4D"/>
          <w:kern w:val="0"/>
          <w:sz w:val="21"/>
          <w:szCs w:val="21"/>
          <w:lang w:eastAsia="it-IT"/>
          <w14:ligatures w14:val="none"/>
        </w:rPr>
      </w:pPr>
      <w:r w:rsidRPr="00A54AAA">
        <w:rPr>
          <w:rFonts w:ascii="Arial" w:eastAsia="Times New Roman" w:hAnsi="Arial" w:cs="Arial"/>
          <w:b/>
          <w:bCs/>
          <w:color w:val="4D4D4D"/>
          <w:kern w:val="0"/>
          <w:sz w:val="21"/>
          <w:szCs w:val="21"/>
          <w:lang w:eastAsia="it-IT"/>
          <w14:ligatures w14:val="none"/>
        </w:rPr>
        <w:t>19/09/2024</w:t>
      </w:r>
    </w:p>
    <w:p w14:paraId="1B9D2D7D" w14:textId="77777777" w:rsid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3CB9276A" w14:textId="5A983103" w:rsidR="00A54AAA" w:rsidRP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54AAA">
        <w:rPr>
          <w:rFonts w:ascii="Arial" w:eastAsia="Times New Roman" w:hAnsi="Arial" w:cs="Arial"/>
          <w:color w:val="000000"/>
          <w:kern w:val="0"/>
          <w:sz w:val="21"/>
          <w:szCs w:val="21"/>
          <w:lang w:eastAsia="it-IT"/>
          <w14:ligatures w14:val="none"/>
        </w:rPr>
        <w:t>Roma, 19 settembre - “Un nuovo anno scolastico è iniziato, ma per il personale della scuola è ancora lontano il rinnovo del contratto nazionale -relativo al triennio 2022/24- già scaduto da oltre due anni. Un contratto di lavoro per il quale il governo ha stanziato risorse ben lontane dal recupero di un’inflazione che, nel triennio di riferimento, è arrivata a toccare il 18% erodendo fortemente il potere d’acquisto del personale della scuola”. È quanto si legge in una nota diffusa dalla Federazione Lavoratori della Conoscenza CGIL.</w:t>
      </w:r>
    </w:p>
    <w:p w14:paraId="2629E64D" w14:textId="77777777" w:rsidR="00A54AAA" w:rsidRP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54AAA">
        <w:rPr>
          <w:rFonts w:ascii="Arial" w:eastAsia="Times New Roman" w:hAnsi="Arial" w:cs="Arial"/>
          <w:color w:val="000000"/>
          <w:kern w:val="0"/>
          <w:sz w:val="21"/>
          <w:szCs w:val="21"/>
          <w:lang w:eastAsia="it-IT"/>
          <w14:ligatures w14:val="none"/>
        </w:rPr>
        <w:t>“In particolare c'è un’emergenza salariale che riguarda il settore degli ATA le cui retribuzioni – si legge nella nota -, soprattutto nel caso dei collaboratori scolastici, sono alle soglie della povertà. Basti pensare che lo stipendio iniziale di un collaboratore scolastico è di appena 1.400 euro mensili lordi (neanche 1.000 euro netti!)”.</w:t>
      </w:r>
    </w:p>
    <w:p w14:paraId="3074D4D1" w14:textId="77777777" w:rsidR="00A54AAA" w:rsidRP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54AAA">
        <w:rPr>
          <w:rFonts w:ascii="Arial" w:eastAsia="Times New Roman" w:hAnsi="Arial" w:cs="Arial"/>
          <w:color w:val="000000"/>
          <w:kern w:val="0"/>
          <w:sz w:val="21"/>
          <w:szCs w:val="21"/>
          <w:lang w:eastAsia="it-IT"/>
          <w14:ligatures w14:val="none"/>
        </w:rPr>
        <w:t>“Ai bassi salari si aggiunge l'elevata percentuale, oltre il 20%, di contratti precari su cui tace colpevolmente lo stesso Ministro che non li cita neanche quando si tratta di dare i numeri sulle supplenze. Eppure – aggiunge il sindacato di categoria - parliamo di lavoratrici e lavoratori senza il cui apporto le scuole non potrebbero funzionare e che hanno diritto a una giusta considerazione”.</w:t>
      </w:r>
    </w:p>
    <w:p w14:paraId="0D151C49" w14:textId="77777777" w:rsidR="00A54AAA" w:rsidRP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54AAA">
        <w:rPr>
          <w:rFonts w:ascii="Arial" w:eastAsia="Times New Roman" w:hAnsi="Arial" w:cs="Arial"/>
          <w:color w:val="000000"/>
          <w:kern w:val="0"/>
          <w:sz w:val="21"/>
          <w:szCs w:val="21"/>
          <w:lang w:eastAsia="it-IT"/>
          <w14:ligatures w14:val="none"/>
        </w:rPr>
        <w:t>Per la FLC: “In previsione dell’approvazione della Legge di Bilancio 2025 è necessaria, da parte del ministero dell’Istruzione e del governo, una giusta considerazione delle esigenze del personale della scuola, con risorse per il contratto che tutelino il potere d’acquisto dei salari del personale e superino gli aumenti fin qui finanziati pari al solo 5,78%, con un differenziale di oltre il 10% rispetto a quanto necessario a garantire la piena tutela delle retribuzioni. Occorre inoltre un finanziamento straordinario per rinforzare gli organici ATA e assumere in pianta stabile gli oltre 45mila precari”.</w:t>
      </w:r>
    </w:p>
    <w:p w14:paraId="03B72B3C" w14:textId="2CC11A6E" w:rsid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54AAA">
        <w:rPr>
          <w:rFonts w:ascii="Arial" w:eastAsia="Times New Roman" w:hAnsi="Arial" w:cs="Arial"/>
          <w:color w:val="000000"/>
          <w:kern w:val="0"/>
          <w:sz w:val="21"/>
          <w:szCs w:val="21"/>
          <w:lang w:eastAsia="it-IT"/>
          <w14:ligatures w14:val="none"/>
        </w:rPr>
        <w:t>“</w:t>
      </w:r>
      <w:r w:rsidRPr="00A54AAA">
        <w:rPr>
          <w:rFonts w:ascii="Arial" w:eastAsia="Times New Roman" w:hAnsi="Arial" w:cs="Arial"/>
          <w:b/>
          <w:bCs/>
          <w:color w:val="000000"/>
          <w:kern w:val="0"/>
          <w:sz w:val="21"/>
          <w:szCs w:val="21"/>
          <w:lang w:eastAsia="it-IT"/>
          <w14:ligatures w14:val="none"/>
        </w:rPr>
        <w:t>Valorizzazione salariale</w:t>
      </w:r>
      <w:r w:rsidRPr="00A54AAA">
        <w:rPr>
          <w:rFonts w:ascii="Arial" w:eastAsia="Times New Roman" w:hAnsi="Arial" w:cs="Arial"/>
          <w:color w:val="000000"/>
          <w:kern w:val="0"/>
          <w:sz w:val="21"/>
          <w:szCs w:val="21"/>
          <w:lang w:eastAsia="it-IT"/>
          <w14:ligatures w14:val="none"/>
        </w:rPr>
        <w:t> e </w:t>
      </w:r>
      <w:r w:rsidRPr="00A54AAA">
        <w:rPr>
          <w:rFonts w:ascii="Arial" w:eastAsia="Times New Roman" w:hAnsi="Arial" w:cs="Arial"/>
          <w:b/>
          <w:bCs/>
          <w:color w:val="000000"/>
          <w:kern w:val="0"/>
          <w:sz w:val="21"/>
          <w:szCs w:val="21"/>
          <w:lang w:eastAsia="it-IT"/>
          <w14:ligatures w14:val="none"/>
        </w:rPr>
        <w:t>credibilità sociale delle professioni scolastiche</w:t>
      </w:r>
      <w:r w:rsidRPr="00A54AAA">
        <w:rPr>
          <w:rFonts w:ascii="Arial" w:eastAsia="Times New Roman" w:hAnsi="Arial" w:cs="Arial"/>
          <w:color w:val="000000"/>
          <w:kern w:val="0"/>
          <w:sz w:val="21"/>
          <w:szCs w:val="21"/>
          <w:lang w:eastAsia="it-IT"/>
          <w14:ligatures w14:val="none"/>
        </w:rPr>
        <w:t> sono strettamente congiunte all’elevamento della qualità dell’offerta formativa”. Conclude la FLC.</w:t>
      </w:r>
    </w:p>
    <w:p w14:paraId="063FE67F" w14:textId="77777777" w:rsidR="00A746D2" w:rsidRPr="004276FC" w:rsidRDefault="00A746D2" w:rsidP="00A746D2">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4276FC">
        <w:rPr>
          <w:rFonts w:ascii="Tahoma" w:eastAsia="Times New Roman" w:hAnsi="Tahoma" w:cs="Tahoma"/>
          <w:color w:val="DC3B33"/>
          <w:kern w:val="36"/>
          <w:sz w:val="45"/>
          <w:szCs w:val="45"/>
          <w:lang w:eastAsia="it-IT"/>
          <w14:ligatures w14:val="none"/>
        </w:rPr>
        <w:t>Stanziamenti ordinamenti professionali e posizioni economiche ATA: la FLC CGIL chiede l’apertura del confronto</w:t>
      </w:r>
    </w:p>
    <w:p w14:paraId="5C7A52AD" w14:textId="77777777" w:rsidR="00A746D2" w:rsidRPr="004276FC" w:rsidRDefault="00A746D2" w:rsidP="00A746D2">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4276FC">
        <w:rPr>
          <w:rFonts w:ascii="Arial" w:eastAsia="Times New Roman" w:hAnsi="Arial" w:cs="Arial"/>
          <w:color w:val="535353"/>
          <w:kern w:val="0"/>
          <w:sz w:val="27"/>
          <w:szCs w:val="27"/>
          <w:lang w:eastAsia="it-IT"/>
          <w14:ligatures w14:val="none"/>
        </w:rPr>
        <w:t>Non disperdere le risorse destinate agli ATA e non utilizzate a causa dei ritardi e delle lungaggini burocratiche ministeriali nel dare attuazione alle novità introdotte dal CCNL 2019/21.</w:t>
      </w:r>
    </w:p>
    <w:p w14:paraId="5BC2AE0F" w14:textId="77777777" w:rsidR="00A746D2" w:rsidRPr="004276FC" w:rsidRDefault="00A746D2" w:rsidP="00A746D2">
      <w:pPr>
        <w:shd w:val="clear" w:color="auto" w:fill="FFFFFF"/>
        <w:spacing w:after="0" w:line="240" w:lineRule="auto"/>
        <w:rPr>
          <w:rFonts w:ascii="Arial" w:eastAsia="Times New Roman" w:hAnsi="Arial" w:cs="Arial"/>
          <w:color w:val="4D4D4D"/>
          <w:kern w:val="0"/>
          <w:sz w:val="21"/>
          <w:szCs w:val="21"/>
          <w:lang w:eastAsia="it-IT"/>
          <w14:ligatures w14:val="none"/>
        </w:rPr>
      </w:pPr>
      <w:r w:rsidRPr="004276FC">
        <w:rPr>
          <w:rFonts w:ascii="Arial" w:eastAsia="Times New Roman" w:hAnsi="Arial" w:cs="Arial"/>
          <w:b/>
          <w:bCs/>
          <w:color w:val="4D4D4D"/>
          <w:kern w:val="0"/>
          <w:sz w:val="21"/>
          <w:szCs w:val="21"/>
          <w:lang w:eastAsia="it-IT"/>
          <w14:ligatures w14:val="none"/>
        </w:rPr>
        <w:t>20/09/2024</w:t>
      </w:r>
    </w:p>
    <w:p w14:paraId="569C4EEA" w14:textId="77777777" w:rsidR="00A746D2" w:rsidRDefault="00A746D2" w:rsidP="00A746D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458C3C34" w14:textId="77777777" w:rsidR="00A746D2" w:rsidRPr="004276FC" w:rsidRDefault="00A746D2" w:rsidP="00A746D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color w:val="000000"/>
          <w:kern w:val="0"/>
          <w:sz w:val="21"/>
          <w:szCs w:val="21"/>
          <w:lang w:eastAsia="it-IT"/>
          <w14:ligatures w14:val="none"/>
        </w:rPr>
        <w:t>In occasione dell’incontro di trattativa Ministero/sindacati svoltosi il 20 settembre 2024 relativo al </w:t>
      </w:r>
      <w:r w:rsidRPr="004276FC">
        <w:rPr>
          <w:rFonts w:ascii="Arial" w:eastAsia="Times New Roman" w:hAnsi="Arial" w:cs="Arial"/>
          <w:b/>
          <w:bCs/>
          <w:color w:val="000000"/>
          <w:kern w:val="0"/>
          <w:sz w:val="21"/>
          <w:szCs w:val="21"/>
          <w:lang w:eastAsia="it-IT"/>
          <w14:ligatures w14:val="none"/>
        </w:rPr>
        <w:t xml:space="preserve">FMOF </w:t>
      </w:r>
      <w:proofErr w:type="spellStart"/>
      <w:r w:rsidRPr="004276FC">
        <w:rPr>
          <w:rFonts w:ascii="Arial" w:eastAsia="Times New Roman" w:hAnsi="Arial" w:cs="Arial"/>
          <w:b/>
          <w:bCs/>
          <w:color w:val="000000"/>
          <w:kern w:val="0"/>
          <w:sz w:val="21"/>
          <w:szCs w:val="21"/>
          <w:lang w:eastAsia="it-IT"/>
          <w14:ligatures w14:val="none"/>
        </w:rPr>
        <w:t>a.s.</w:t>
      </w:r>
      <w:proofErr w:type="spellEnd"/>
      <w:r w:rsidRPr="004276FC">
        <w:rPr>
          <w:rFonts w:ascii="Arial" w:eastAsia="Times New Roman" w:hAnsi="Arial" w:cs="Arial"/>
          <w:b/>
          <w:bCs/>
          <w:color w:val="000000"/>
          <w:kern w:val="0"/>
          <w:sz w:val="21"/>
          <w:szCs w:val="21"/>
          <w:lang w:eastAsia="it-IT"/>
          <w14:ligatures w14:val="none"/>
        </w:rPr>
        <w:t xml:space="preserve"> 2024/2025</w:t>
      </w:r>
      <w:r w:rsidRPr="004276FC">
        <w:rPr>
          <w:rFonts w:ascii="Arial" w:eastAsia="Times New Roman" w:hAnsi="Arial" w:cs="Arial"/>
          <w:color w:val="000000"/>
          <w:kern w:val="0"/>
          <w:sz w:val="21"/>
          <w:szCs w:val="21"/>
          <w:lang w:eastAsia="it-IT"/>
          <w14:ligatures w14:val="none"/>
        </w:rPr>
        <w:t>, la FLC CGIL ha chiesto l’apertura del confronto per decidere l’utilizzo delle risorse (37 milioni di euro) destinate alla </w:t>
      </w:r>
      <w:r w:rsidRPr="004276FC">
        <w:rPr>
          <w:rFonts w:ascii="Arial" w:eastAsia="Times New Roman" w:hAnsi="Arial" w:cs="Arial"/>
          <w:b/>
          <w:bCs/>
          <w:color w:val="000000"/>
          <w:kern w:val="0"/>
          <w:sz w:val="21"/>
          <w:szCs w:val="21"/>
          <w:lang w:eastAsia="it-IT"/>
          <w14:ligatures w14:val="none"/>
        </w:rPr>
        <w:t>revisione degli ordinamenti professionali e alle posizioni economiche del personale ATA</w:t>
      </w:r>
      <w:r w:rsidRPr="004276FC">
        <w:rPr>
          <w:rFonts w:ascii="Arial" w:eastAsia="Times New Roman" w:hAnsi="Arial" w:cs="Arial"/>
          <w:color w:val="000000"/>
          <w:kern w:val="0"/>
          <w:sz w:val="21"/>
          <w:szCs w:val="21"/>
          <w:lang w:eastAsia="it-IT"/>
          <w14:ligatures w14:val="none"/>
        </w:rPr>
        <w:t> che, a causa dei ritardi dovuti all’iter del controllo per la sottoscrizione definitiva del CCNL 2019-2021 e delle lungaggini ministeriali nel dare attuazione alle novità introdotte dallo stesso, risulterebbero inutilizzate per l’anno 2024.</w:t>
      </w:r>
    </w:p>
    <w:p w14:paraId="51E9872A" w14:textId="66AD0708" w:rsidR="00A746D2" w:rsidRPr="00A746D2" w:rsidRDefault="00A746D2" w:rsidP="00A746D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276FC">
        <w:rPr>
          <w:rFonts w:ascii="Arial" w:eastAsia="Times New Roman" w:hAnsi="Arial" w:cs="Arial"/>
          <w:color w:val="000000"/>
          <w:kern w:val="0"/>
          <w:sz w:val="21"/>
          <w:szCs w:val="21"/>
          <w:lang w:eastAsia="it-IT"/>
          <w14:ligatures w14:val="none"/>
        </w:rPr>
        <w:lastRenderedPageBreak/>
        <w:t>Poiché tali risorse non vanno assolutamente disperse è urgente aprire un confronto per decidere l’uso e la destinazione di tali fondi a favore del personale.</w:t>
      </w:r>
    </w:p>
    <w:p w14:paraId="73E26777" w14:textId="3D6E7775" w:rsidR="00A958A3" w:rsidRPr="00A958A3" w:rsidRDefault="00A958A3" w:rsidP="00A958A3">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A958A3">
        <w:rPr>
          <w:rFonts w:ascii="Tahoma" w:eastAsia="Times New Roman" w:hAnsi="Tahoma" w:cs="Tahoma"/>
          <w:color w:val="DC3B33"/>
          <w:kern w:val="36"/>
          <w:sz w:val="45"/>
          <w:szCs w:val="45"/>
          <w:lang w:eastAsia="it-IT"/>
          <w14:ligatures w14:val="none"/>
        </w:rPr>
        <w:t xml:space="preserve">Finanziamenti alle scuole: ripresa la trattativa sul CCNI FMOF </w:t>
      </w:r>
      <w:proofErr w:type="spellStart"/>
      <w:r w:rsidRPr="00A958A3">
        <w:rPr>
          <w:rFonts w:ascii="Tahoma" w:eastAsia="Times New Roman" w:hAnsi="Tahoma" w:cs="Tahoma"/>
          <w:color w:val="DC3B33"/>
          <w:kern w:val="36"/>
          <w:sz w:val="45"/>
          <w:szCs w:val="45"/>
          <w:lang w:eastAsia="it-IT"/>
          <w14:ligatures w14:val="none"/>
        </w:rPr>
        <w:t>a.s.</w:t>
      </w:r>
      <w:proofErr w:type="spellEnd"/>
      <w:r w:rsidRPr="00A958A3">
        <w:rPr>
          <w:rFonts w:ascii="Tahoma" w:eastAsia="Times New Roman" w:hAnsi="Tahoma" w:cs="Tahoma"/>
          <w:color w:val="DC3B33"/>
          <w:kern w:val="36"/>
          <w:sz w:val="45"/>
          <w:szCs w:val="45"/>
          <w:lang w:eastAsia="it-IT"/>
          <w14:ligatures w14:val="none"/>
        </w:rPr>
        <w:t xml:space="preserve"> 2024/25</w:t>
      </w:r>
    </w:p>
    <w:p w14:paraId="4FA8271B" w14:textId="77777777" w:rsidR="00A958A3" w:rsidRPr="00A958A3" w:rsidRDefault="00A958A3" w:rsidP="00A958A3">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A958A3">
        <w:rPr>
          <w:rFonts w:ascii="Arial" w:eastAsia="Times New Roman" w:hAnsi="Arial" w:cs="Arial"/>
          <w:color w:val="535353"/>
          <w:kern w:val="0"/>
          <w:sz w:val="27"/>
          <w:szCs w:val="27"/>
          <w:lang w:eastAsia="it-IT"/>
          <w14:ligatures w14:val="none"/>
        </w:rPr>
        <w:t>Sostanziale condivisone su indennità e compensi da destinare al personale docente e Ata. A breve la sottoscrizione definitiva dell’ipotesi.</w:t>
      </w:r>
    </w:p>
    <w:p w14:paraId="00F11FCA" w14:textId="77777777" w:rsidR="00A958A3" w:rsidRPr="00A958A3" w:rsidRDefault="00A958A3" w:rsidP="00A958A3">
      <w:pPr>
        <w:shd w:val="clear" w:color="auto" w:fill="FFFFFF"/>
        <w:spacing w:after="0" w:line="240" w:lineRule="auto"/>
        <w:rPr>
          <w:rFonts w:ascii="Arial" w:eastAsia="Times New Roman" w:hAnsi="Arial" w:cs="Arial"/>
          <w:color w:val="4D4D4D"/>
          <w:kern w:val="0"/>
          <w:sz w:val="21"/>
          <w:szCs w:val="21"/>
          <w:lang w:eastAsia="it-IT"/>
          <w14:ligatures w14:val="none"/>
        </w:rPr>
      </w:pPr>
      <w:r w:rsidRPr="00A958A3">
        <w:rPr>
          <w:rFonts w:ascii="Arial" w:eastAsia="Times New Roman" w:hAnsi="Arial" w:cs="Arial"/>
          <w:b/>
          <w:bCs/>
          <w:color w:val="4D4D4D"/>
          <w:kern w:val="0"/>
          <w:sz w:val="21"/>
          <w:szCs w:val="21"/>
          <w:lang w:eastAsia="it-IT"/>
          <w14:ligatures w14:val="none"/>
        </w:rPr>
        <w:t>20/09/2024</w:t>
      </w:r>
    </w:p>
    <w:p w14:paraId="62E23C9A" w14:textId="77777777" w:rsidR="00A958A3" w:rsidRDefault="00A958A3" w:rsidP="00A958A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4DD39CAB" w14:textId="7B96CA77" w:rsidR="00A958A3" w:rsidRPr="00A958A3" w:rsidRDefault="00A958A3" w:rsidP="00A958A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58A3">
        <w:rPr>
          <w:rFonts w:ascii="Arial" w:eastAsia="Times New Roman" w:hAnsi="Arial" w:cs="Arial"/>
          <w:color w:val="000000"/>
          <w:kern w:val="0"/>
          <w:sz w:val="21"/>
          <w:szCs w:val="21"/>
          <w:lang w:eastAsia="it-IT"/>
          <w14:ligatures w14:val="none"/>
        </w:rPr>
        <w:t>Il </w:t>
      </w:r>
      <w:r w:rsidRPr="00A958A3">
        <w:rPr>
          <w:rFonts w:ascii="Arial" w:eastAsia="Times New Roman" w:hAnsi="Arial" w:cs="Arial"/>
          <w:b/>
          <w:bCs/>
          <w:color w:val="000000"/>
          <w:kern w:val="0"/>
          <w:sz w:val="21"/>
          <w:szCs w:val="21"/>
          <w:lang w:eastAsia="it-IT"/>
          <w14:ligatures w14:val="none"/>
        </w:rPr>
        <w:t>20 settembre 2024</w:t>
      </w:r>
      <w:r w:rsidRPr="00A958A3">
        <w:rPr>
          <w:rFonts w:ascii="Arial" w:eastAsia="Times New Roman" w:hAnsi="Arial" w:cs="Arial"/>
          <w:color w:val="000000"/>
          <w:kern w:val="0"/>
          <w:sz w:val="21"/>
          <w:szCs w:val="21"/>
          <w:lang w:eastAsia="it-IT"/>
          <w14:ligatures w14:val="none"/>
        </w:rPr>
        <w:t> è ripresa la trattativa tra Ministero dell’Istruzione e del Merito e sindacati firmatari del CCNL per definire l’ipotesi di CCNI sui criteri di ripartizione alle scuole delle risorse finanziarie del </w:t>
      </w:r>
      <w:r w:rsidRPr="00A958A3">
        <w:rPr>
          <w:rFonts w:ascii="Arial" w:eastAsia="Times New Roman" w:hAnsi="Arial" w:cs="Arial"/>
          <w:b/>
          <w:bCs/>
          <w:color w:val="000000"/>
          <w:kern w:val="0"/>
          <w:sz w:val="21"/>
          <w:szCs w:val="21"/>
          <w:lang w:eastAsia="it-IT"/>
          <w14:ligatures w14:val="none"/>
        </w:rPr>
        <w:t>“Fondo per il miglioramento dell’offerta formativa”</w:t>
      </w:r>
      <w:r w:rsidRPr="00A958A3">
        <w:rPr>
          <w:rFonts w:ascii="Arial" w:eastAsia="Times New Roman" w:hAnsi="Arial" w:cs="Arial"/>
          <w:color w:val="000000"/>
          <w:kern w:val="0"/>
          <w:sz w:val="21"/>
          <w:szCs w:val="21"/>
          <w:lang w:eastAsia="it-IT"/>
          <w14:ligatures w14:val="none"/>
        </w:rPr>
        <w:t> (FMOF) relativo all’anno scolastico 2024/2025.</w:t>
      </w:r>
    </w:p>
    <w:p w14:paraId="4A2E358B" w14:textId="77777777" w:rsidR="00A958A3" w:rsidRPr="00A958A3" w:rsidRDefault="00A958A3" w:rsidP="00A958A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58A3">
        <w:rPr>
          <w:rFonts w:ascii="Arial" w:eastAsia="Times New Roman" w:hAnsi="Arial" w:cs="Arial"/>
          <w:color w:val="000000"/>
          <w:kern w:val="0"/>
          <w:sz w:val="21"/>
          <w:szCs w:val="21"/>
          <w:lang w:eastAsia="it-IT"/>
          <w14:ligatures w14:val="none"/>
        </w:rPr>
        <w:t>In apertura di riunione il Dott. J. Greco, Capo Dipartimento per le risorse umane, finanziarie e strumentali del MIM, ha ribadito l’importanza di concludere entro settembre la trattativa per consentire alle scuole di avere quanto prima contezza delle risorse a disposizione per programmare le attività didattiche e retribuire il personale coinvolto previa contrattazione di scuola.</w:t>
      </w:r>
    </w:p>
    <w:p w14:paraId="69C90523" w14:textId="77777777" w:rsidR="00A958A3" w:rsidRPr="00A958A3" w:rsidRDefault="00A958A3" w:rsidP="00A958A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58A3">
        <w:rPr>
          <w:rFonts w:ascii="Arial" w:eastAsia="Times New Roman" w:hAnsi="Arial" w:cs="Arial"/>
          <w:color w:val="000000"/>
          <w:kern w:val="0"/>
          <w:sz w:val="21"/>
          <w:szCs w:val="21"/>
          <w:lang w:eastAsia="it-IT"/>
          <w14:ligatures w14:val="none"/>
        </w:rPr>
        <w:t>Ha quindi illustrato la bozza del testo dell’accordo anche sulla base delle proposte emerse nel precedente incontro del tavolo contrattuale e che tiene conto delle novità introdotte con il CCNL 2019/21.</w:t>
      </w:r>
    </w:p>
    <w:p w14:paraId="5FD70247" w14:textId="77777777" w:rsidR="00A958A3" w:rsidRPr="00A958A3" w:rsidRDefault="00A958A3" w:rsidP="00A958A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58A3">
        <w:rPr>
          <w:rFonts w:ascii="Arial" w:eastAsia="Times New Roman" w:hAnsi="Arial" w:cs="Arial"/>
          <w:color w:val="000000"/>
          <w:kern w:val="0"/>
          <w:sz w:val="21"/>
          <w:szCs w:val="21"/>
          <w:lang w:eastAsia="it-IT"/>
          <w14:ligatures w14:val="none"/>
        </w:rPr>
        <w:t>Diversi i punti su cui è stata registrata una sostanziale convergenza:</w:t>
      </w:r>
    </w:p>
    <w:p w14:paraId="567F5394" w14:textId="77777777" w:rsidR="00A958A3" w:rsidRPr="00A958A3" w:rsidRDefault="00A958A3" w:rsidP="00A958A3">
      <w:pPr>
        <w:numPr>
          <w:ilvl w:val="0"/>
          <w:numId w:val="4"/>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A958A3">
        <w:rPr>
          <w:rFonts w:ascii="Arial" w:eastAsia="Times New Roman" w:hAnsi="Arial" w:cs="Arial"/>
          <w:color w:val="000000"/>
          <w:kern w:val="0"/>
          <w:sz w:val="23"/>
          <w:szCs w:val="23"/>
          <w:lang w:eastAsia="it-IT"/>
          <w14:ligatures w14:val="none"/>
        </w:rPr>
        <w:t xml:space="preserve">aumento delle risorse del </w:t>
      </w:r>
      <w:proofErr w:type="spellStart"/>
      <w:r w:rsidRPr="00A958A3">
        <w:rPr>
          <w:rFonts w:ascii="Arial" w:eastAsia="Times New Roman" w:hAnsi="Arial" w:cs="Arial"/>
          <w:color w:val="000000"/>
          <w:kern w:val="0"/>
          <w:sz w:val="23"/>
          <w:szCs w:val="23"/>
          <w:lang w:eastAsia="it-IT"/>
          <w14:ligatures w14:val="none"/>
        </w:rPr>
        <w:t>Fmof</w:t>
      </w:r>
      <w:proofErr w:type="spellEnd"/>
      <w:r w:rsidRPr="00A958A3">
        <w:rPr>
          <w:rFonts w:ascii="Arial" w:eastAsia="Times New Roman" w:hAnsi="Arial" w:cs="Arial"/>
          <w:color w:val="000000"/>
          <w:kern w:val="0"/>
          <w:sz w:val="23"/>
          <w:szCs w:val="23"/>
          <w:lang w:eastAsia="it-IT"/>
          <w14:ligatures w14:val="none"/>
        </w:rPr>
        <w:t xml:space="preserve"> (di circa 40 mln di euro);</w:t>
      </w:r>
    </w:p>
    <w:p w14:paraId="6DB64348" w14:textId="77777777" w:rsidR="00A958A3" w:rsidRPr="00A958A3" w:rsidRDefault="00A958A3" w:rsidP="00A958A3">
      <w:pPr>
        <w:numPr>
          <w:ilvl w:val="0"/>
          <w:numId w:val="4"/>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A958A3">
        <w:rPr>
          <w:rFonts w:ascii="Arial" w:eastAsia="Times New Roman" w:hAnsi="Arial" w:cs="Arial"/>
          <w:color w:val="000000"/>
          <w:kern w:val="0"/>
          <w:sz w:val="23"/>
          <w:szCs w:val="23"/>
          <w:lang w:eastAsia="it-IT"/>
          <w14:ligatures w14:val="none"/>
        </w:rPr>
        <w:t>introduzione di un compenso (massimo 800 euro) per riconoscere il disagio degli AT delle scuole del primo ciclo impegnati su numerose scuole;</w:t>
      </w:r>
    </w:p>
    <w:p w14:paraId="04401E4A" w14:textId="77777777" w:rsidR="00A958A3" w:rsidRPr="00A958A3" w:rsidRDefault="00A958A3" w:rsidP="00A958A3">
      <w:pPr>
        <w:numPr>
          <w:ilvl w:val="0"/>
          <w:numId w:val="4"/>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A958A3">
        <w:rPr>
          <w:rFonts w:ascii="Arial" w:eastAsia="Times New Roman" w:hAnsi="Arial" w:cs="Arial"/>
          <w:color w:val="000000"/>
          <w:kern w:val="0"/>
          <w:sz w:val="23"/>
          <w:szCs w:val="23"/>
          <w:lang w:eastAsia="it-IT"/>
          <w14:ligatures w14:val="none"/>
        </w:rPr>
        <w:t>previsto un compenso (che non sia inferiore a 700 euro) per i collaboratori scolastici con incarico per l’assistenza agli alunni, specie dell’infanzia e con disabilità;</w:t>
      </w:r>
    </w:p>
    <w:p w14:paraId="2AD6BD8C" w14:textId="77777777" w:rsidR="00A958A3" w:rsidRPr="00A958A3" w:rsidRDefault="00A958A3" w:rsidP="00A958A3">
      <w:pPr>
        <w:numPr>
          <w:ilvl w:val="0"/>
          <w:numId w:val="4"/>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A958A3">
        <w:rPr>
          <w:rFonts w:ascii="Arial" w:eastAsia="Times New Roman" w:hAnsi="Arial" w:cs="Arial"/>
          <w:color w:val="000000"/>
          <w:kern w:val="0"/>
          <w:sz w:val="23"/>
          <w:szCs w:val="23"/>
          <w:lang w:eastAsia="it-IT"/>
          <w14:ligatures w14:val="none"/>
        </w:rPr>
        <w:t>definizione dei criteri per valorizzare i docenti (di ruolo e supplenti) che hanno prestato servizio in scuole situate nelle aree socialmente disagiate per almeno tre anni continuativi;</w:t>
      </w:r>
    </w:p>
    <w:p w14:paraId="0B327456" w14:textId="77777777" w:rsidR="00A958A3" w:rsidRPr="00A958A3" w:rsidRDefault="00A958A3" w:rsidP="00A958A3">
      <w:pPr>
        <w:numPr>
          <w:ilvl w:val="0"/>
          <w:numId w:val="4"/>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A958A3">
        <w:rPr>
          <w:rFonts w:ascii="Arial" w:eastAsia="Times New Roman" w:hAnsi="Arial" w:cs="Arial"/>
          <w:color w:val="000000"/>
          <w:kern w:val="0"/>
          <w:sz w:val="23"/>
          <w:szCs w:val="23"/>
          <w:lang w:eastAsia="it-IT"/>
          <w14:ligatures w14:val="none"/>
        </w:rPr>
        <w:t>definizione dei criteri per riconoscere l’indennità di disagio al personale che presta servizio nelle piccole isole;</w:t>
      </w:r>
    </w:p>
    <w:p w14:paraId="29A5BDDE" w14:textId="77777777" w:rsidR="00A958A3" w:rsidRPr="00A958A3" w:rsidRDefault="00A958A3" w:rsidP="00A958A3">
      <w:pPr>
        <w:numPr>
          <w:ilvl w:val="0"/>
          <w:numId w:val="4"/>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A958A3">
        <w:rPr>
          <w:rFonts w:ascii="Arial" w:eastAsia="Times New Roman" w:hAnsi="Arial" w:cs="Arial"/>
          <w:color w:val="000000"/>
          <w:kern w:val="0"/>
          <w:sz w:val="23"/>
          <w:szCs w:val="23"/>
          <w:lang w:eastAsia="it-IT"/>
          <w14:ligatures w14:val="none"/>
        </w:rPr>
        <w:t>incremento dell’indennità parte variabile dei DSGA.</w:t>
      </w:r>
    </w:p>
    <w:p w14:paraId="5671B115" w14:textId="77777777" w:rsidR="00A958A3" w:rsidRPr="00A958A3" w:rsidRDefault="00A958A3" w:rsidP="00A958A3">
      <w:pPr>
        <w:pBdr>
          <w:bottom w:val="dotted" w:sz="6" w:space="3" w:color="CCCCCC"/>
        </w:pBdr>
        <w:shd w:val="clear" w:color="auto" w:fill="F2F2F2"/>
        <w:spacing w:before="300" w:after="150" w:line="240" w:lineRule="auto"/>
        <w:outlineLvl w:val="4"/>
        <w:rPr>
          <w:rFonts w:ascii="Arial" w:eastAsia="Times New Roman" w:hAnsi="Arial" w:cs="Arial"/>
          <w:color w:val="535353"/>
          <w:kern w:val="0"/>
          <w:sz w:val="27"/>
          <w:szCs w:val="27"/>
          <w:lang w:eastAsia="it-IT"/>
          <w14:ligatures w14:val="none"/>
        </w:rPr>
      </w:pPr>
      <w:r w:rsidRPr="00A958A3">
        <w:rPr>
          <w:rFonts w:ascii="Arial" w:eastAsia="Times New Roman" w:hAnsi="Arial" w:cs="Arial"/>
          <w:b/>
          <w:bCs/>
          <w:color w:val="535353"/>
          <w:kern w:val="0"/>
          <w:sz w:val="27"/>
          <w:szCs w:val="27"/>
          <w:lang w:eastAsia="it-IT"/>
          <w14:ligatures w14:val="none"/>
        </w:rPr>
        <w:t xml:space="preserve">Utilizzo economie </w:t>
      </w:r>
      <w:proofErr w:type="spellStart"/>
      <w:r w:rsidRPr="00A958A3">
        <w:rPr>
          <w:rFonts w:ascii="Arial" w:eastAsia="Times New Roman" w:hAnsi="Arial" w:cs="Arial"/>
          <w:b/>
          <w:bCs/>
          <w:color w:val="535353"/>
          <w:kern w:val="0"/>
          <w:sz w:val="27"/>
          <w:szCs w:val="27"/>
          <w:lang w:eastAsia="it-IT"/>
          <w14:ligatures w14:val="none"/>
        </w:rPr>
        <w:t>Fmof</w:t>
      </w:r>
      <w:proofErr w:type="spellEnd"/>
    </w:p>
    <w:p w14:paraId="62A35EC0" w14:textId="77777777" w:rsidR="00A958A3" w:rsidRPr="00A958A3" w:rsidRDefault="00A958A3" w:rsidP="00A958A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58A3">
        <w:rPr>
          <w:rFonts w:ascii="Arial" w:eastAsia="Times New Roman" w:hAnsi="Arial" w:cs="Arial"/>
          <w:color w:val="000000"/>
          <w:kern w:val="0"/>
          <w:sz w:val="21"/>
          <w:szCs w:val="21"/>
          <w:lang w:eastAsia="it-IT"/>
          <w14:ligatures w14:val="none"/>
        </w:rPr>
        <w:t>Nel corso dell’incontro è stato inoltre comunicato che sono disponibili ulteriori 31 milioni di euro quali economie relative agli esercizi finanziari 2022 e 2023. Con queste risorse il tavolo ha convenuto sarà possibile far fronte ad alcune esigenze molto importanti come l’incremento delle risorse per pagare le ore eccedenti svolte dai docenti in sostituzione dei colleghi assenti, riconoscere al personale Ata (compresi i DSGA) un compenso una tantum per retribuire le indennità dovute loro a partire dal maggio 2024, data di entrata in vigore del nuovo ordinamento professionale, ulteriore rivalutazione dell’indennità DSGA  anche sulla base delle economie relative alle operazioni di dimensionamento scolastico.</w:t>
      </w:r>
    </w:p>
    <w:p w14:paraId="31EA1760" w14:textId="1C68CD40" w:rsidR="00A958A3" w:rsidRPr="00A54AAA" w:rsidRDefault="00A958A3"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58A3">
        <w:rPr>
          <w:rFonts w:ascii="Arial" w:eastAsia="Times New Roman" w:hAnsi="Arial" w:cs="Arial"/>
          <w:color w:val="000000"/>
          <w:kern w:val="0"/>
          <w:sz w:val="21"/>
          <w:szCs w:val="21"/>
          <w:lang w:eastAsia="it-IT"/>
          <w14:ligatures w14:val="none"/>
        </w:rPr>
        <w:t>La conclusione della trattativa è prevista per la prossima settimana.</w:t>
      </w:r>
    </w:p>
    <w:p w14:paraId="78E0D328" w14:textId="77777777" w:rsidR="00A54AAA" w:rsidRPr="00A54AAA" w:rsidRDefault="00A54AAA" w:rsidP="00A54AAA">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bookmarkStart w:id="0" w:name="fb_share"/>
      <w:r w:rsidRPr="00A54AAA">
        <w:rPr>
          <w:rFonts w:ascii="Tahoma" w:eastAsia="Times New Roman" w:hAnsi="Tahoma" w:cs="Tahoma"/>
          <w:color w:val="DC3B33"/>
          <w:kern w:val="36"/>
          <w:sz w:val="45"/>
          <w:szCs w:val="45"/>
          <w:lang w:eastAsia="it-IT"/>
          <w14:ligatures w14:val="none"/>
        </w:rPr>
        <w:lastRenderedPageBreak/>
        <w:t>Depositata in Parlamento una proposta di legge per ridurre di un anno la scuola secondaria di II grado</w:t>
      </w:r>
    </w:p>
    <w:p w14:paraId="64118F2E" w14:textId="77777777" w:rsidR="00A54AAA" w:rsidRPr="00A54AAA" w:rsidRDefault="00A54AAA" w:rsidP="00A54AAA">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A54AAA">
        <w:rPr>
          <w:rFonts w:ascii="Arial" w:eastAsia="Times New Roman" w:hAnsi="Arial" w:cs="Arial"/>
          <w:color w:val="535353"/>
          <w:kern w:val="0"/>
          <w:sz w:val="27"/>
          <w:szCs w:val="27"/>
          <w:lang w:eastAsia="it-IT"/>
          <w14:ligatures w14:val="none"/>
        </w:rPr>
        <w:t>Si propongono quattro anni per tutti gli indirizzi, mentre docenti, studenti e famiglie bocciano la sperimentazione e l’OCSE certifica l’esigenza di maggiore formazione. Una prima valutazione della FLC CGIL</w:t>
      </w:r>
    </w:p>
    <w:p w14:paraId="10AEB60D" w14:textId="77777777" w:rsidR="00A54AAA" w:rsidRPr="00A54AAA" w:rsidRDefault="00A54AAA" w:rsidP="00A54AAA">
      <w:pPr>
        <w:shd w:val="clear" w:color="auto" w:fill="FFFFFF"/>
        <w:spacing w:after="0" w:line="240" w:lineRule="auto"/>
        <w:rPr>
          <w:rFonts w:ascii="Arial" w:eastAsia="Times New Roman" w:hAnsi="Arial" w:cs="Arial"/>
          <w:color w:val="4D4D4D"/>
          <w:kern w:val="0"/>
          <w:sz w:val="21"/>
          <w:szCs w:val="21"/>
          <w:lang w:eastAsia="it-IT"/>
          <w14:ligatures w14:val="none"/>
        </w:rPr>
      </w:pPr>
      <w:r w:rsidRPr="00A54AAA">
        <w:rPr>
          <w:rFonts w:ascii="Arial" w:eastAsia="Times New Roman" w:hAnsi="Arial" w:cs="Arial"/>
          <w:b/>
          <w:bCs/>
          <w:color w:val="4D4D4D"/>
          <w:kern w:val="0"/>
          <w:sz w:val="21"/>
          <w:szCs w:val="21"/>
          <w:lang w:eastAsia="it-IT"/>
          <w14:ligatures w14:val="none"/>
        </w:rPr>
        <w:t>16/09/2024</w:t>
      </w:r>
    </w:p>
    <w:p w14:paraId="6384265A" w14:textId="77777777" w:rsid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3042F849" w14:textId="6FE5F20F" w:rsidR="00A54AAA" w:rsidRP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54AAA">
        <w:rPr>
          <w:rFonts w:ascii="Arial" w:eastAsia="Times New Roman" w:hAnsi="Arial" w:cs="Arial"/>
          <w:color w:val="000000"/>
          <w:kern w:val="0"/>
          <w:sz w:val="21"/>
          <w:szCs w:val="21"/>
          <w:lang w:eastAsia="it-IT"/>
          <w14:ligatures w14:val="none"/>
        </w:rPr>
        <w:t>Recentemente depositata alla Camera dei deputati, </w:t>
      </w:r>
      <w:r w:rsidRPr="00A54AAA">
        <w:rPr>
          <w:rFonts w:ascii="Arial" w:eastAsia="Times New Roman" w:hAnsi="Arial" w:cs="Arial"/>
          <w:b/>
          <w:bCs/>
          <w:color w:val="000000"/>
          <w:kern w:val="0"/>
          <w:sz w:val="21"/>
          <w:szCs w:val="21"/>
          <w:lang w:eastAsia="it-IT"/>
          <w14:ligatures w14:val="none"/>
        </w:rPr>
        <w:t>la proposta di legge n. 1739 prevede la durata quadriennale dei corsi di studio per tutti gli indirizzi dell’istruzione secondaria di secondo grado</w:t>
      </w:r>
      <w:r w:rsidRPr="00A54AAA">
        <w:rPr>
          <w:rFonts w:ascii="Arial" w:eastAsia="Times New Roman" w:hAnsi="Arial" w:cs="Arial"/>
          <w:color w:val="000000"/>
          <w:kern w:val="0"/>
          <w:sz w:val="21"/>
          <w:szCs w:val="21"/>
          <w:lang w:eastAsia="it-IT"/>
          <w14:ligatures w14:val="none"/>
        </w:rPr>
        <w:t>.</w:t>
      </w:r>
    </w:p>
    <w:p w14:paraId="143BC85D" w14:textId="77777777" w:rsidR="00A54AAA" w:rsidRP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54AAA">
        <w:rPr>
          <w:rFonts w:ascii="Arial" w:eastAsia="Times New Roman" w:hAnsi="Arial" w:cs="Arial"/>
          <w:color w:val="000000"/>
          <w:kern w:val="0"/>
          <w:sz w:val="21"/>
          <w:szCs w:val="21"/>
          <w:lang w:eastAsia="it-IT"/>
          <w14:ligatures w14:val="none"/>
        </w:rPr>
        <w:t>Essenziale </w:t>
      </w:r>
      <w:r w:rsidRPr="00A54AAA">
        <w:rPr>
          <w:rFonts w:ascii="Arial" w:eastAsia="Times New Roman" w:hAnsi="Arial" w:cs="Arial"/>
          <w:b/>
          <w:bCs/>
          <w:color w:val="000000"/>
          <w:kern w:val="0"/>
          <w:sz w:val="21"/>
          <w:szCs w:val="21"/>
          <w:lang w:eastAsia="it-IT"/>
          <w14:ligatures w14:val="none"/>
        </w:rPr>
        <w:t>il contenuto del disegno di legge</w:t>
      </w:r>
      <w:r w:rsidRPr="00A54AAA">
        <w:rPr>
          <w:rFonts w:ascii="Arial" w:eastAsia="Times New Roman" w:hAnsi="Arial" w:cs="Arial"/>
          <w:color w:val="000000"/>
          <w:kern w:val="0"/>
          <w:sz w:val="21"/>
          <w:szCs w:val="21"/>
          <w:lang w:eastAsia="it-IT"/>
          <w14:ligatures w14:val="none"/>
        </w:rPr>
        <w:t> che si compone di due soli articoli.</w:t>
      </w:r>
    </w:p>
    <w:p w14:paraId="548241F8" w14:textId="77777777" w:rsidR="00A54AAA" w:rsidRP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54AAA">
        <w:rPr>
          <w:rFonts w:ascii="Arial" w:eastAsia="Times New Roman" w:hAnsi="Arial" w:cs="Arial"/>
          <w:color w:val="000000"/>
          <w:kern w:val="0"/>
          <w:sz w:val="21"/>
          <w:szCs w:val="21"/>
          <w:lang w:eastAsia="it-IT"/>
          <w14:ligatures w14:val="none"/>
        </w:rPr>
        <w:t xml:space="preserve">Il Governo è delegato ad adottare, entro sei mesi, uno o più decreti legislativi di parziale riordino del secondo ciclo di istruzione, con l’obiettivo di garantire la “piena realizzazione del diritto-dovere di istruzione e formazione, anticipare l’ingresso dei giovani nel mondo del lavoro e favorire una formazione adeguata alle esigenze del tessuto socioeconomico”. La nuova scuola secondaria di II grado, comunque articolata in licei, istituti tecnici e istituti professionali avrà durata quadriennale. Non si prevede una rimodulazione di obiettivi di apprendimento, competenze o dei contenuti delle discipline, ma una riduzione dei tempi attualmente previsti, da 5 a 4 anni, “eventualmente provvedendo all’adeguamento e alla rimodulazione del calendario scolastico annuale e dell’orario settimanale delle lezioni”, ricorrendo agli strumenti offerti dal Regolamento dell’autonomia (artt. 4 e 5 del DPR 275/99). Presente un richiamo all’educazione civica, alle tecnologie digitali, alle attività laboratoriali, alla metodologia Content and Language </w:t>
      </w:r>
      <w:proofErr w:type="spellStart"/>
      <w:r w:rsidRPr="00A54AAA">
        <w:rPr>
          <w:rFonts w:ascii="Arial" w:eastAsia="Times New Roman" w:hAnsi="Arial" w:cs="Arial"/>
          <w:color w:val="000000"/>
          <w:kern w:val="0"/>
          <w:sz w:val="21"/>
          <w:szCs w:val="21"/>
          <w:lang w:eastAsia="it-IT"/>
          <w14:ligatures w14:val="none"/>
        </w:rPr>
        <w:t>Integrated</w:t>
      </w:r>
      <w:proofErr w:type="spellEnd"/>
      <w:r w:rsidRPr="00A54AAA">
        <w:rPr>
          <w:rFonts w:ascii="Arial" w:eastAsia="Times New Roman" w:hAnsi="Arial" w:cs="Arial"/>
          <w:color w:val="000000"/>
          <w:kern w:val="0"/>
          <w:sz w:val="21"/>
          <w:szCs w:val="21"/>
          <w:lang w:eastAsia="it-IT"/>
          <w14:ligatures w14:val="none"/>
        </w:rPr>
        <w:t xml:space="preserve"> learning (CLIL) e alle discipline STEM. Si prevede che la riduzione a quattro anni non comporti esuberi. Non sono previsti nuovi o maggiori oneri per la finanza pubblica, eventualmente coperti da compensazioni interne al Ministero dell’Istruzione.</w:t>
      </w:r>
    </w:p>
    <w:p w14:paraId="2429AB0D" w14:textId="77777777" w:rsidR="00A54AAA" w:rsidRP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54AAA">
        <w:rPr>
          <w:rFonts w:ascii="Arial" w:eastAsia="Times New Roman" w:hAnsi="Arial" w:cs="Arial"/>
          <w:b/>
          <w:bCs/>
          <w:color w:val="000000"/>
          <w:kern w:val="0"/>
          <w:sz w:val="21"/>
          <w:szCs w:val="21"/>
          <w:lang w:eastAsia="it-IT"/>
          <w14:ligatures w14:val="none"/>
        </w:rPr>
        <w:t>La valutazione della FLC CGIL</w:t>
      </w:r>
    </w:p>
    <w:p w14:paraId="6D93D109" w14:textId="77777777" w:rsidR="00A54AAA" w:rsidRP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54AAA">
        <w:rPr>
          <w:rFonts w:ascii="Arial" w:eastAsia="Times New Roman" w:hAnsi="Arial" w:cs="Arial"/>
          <w:b/>
          <w:bCs/>
          <w:color w:val="000000"/>
          <w:kern w:val="0"/>
          <w:sz w:val="21"/>
          <w:szCs w:val="21"/>
          <w:lang w:eastAsia="it-IT"/>
          <w14:ligatures w14:val="none"/>
        </w:rPr>
        <w:t>Il progetto non presenta alcuna riflessione educativa a monte</w:t>
      </w:r>
      <w:r w:rsidRPr="00A54AAA">
        <w:rPr>
          <w:rFonts w:ascii="Arial" w:eastAsia="Times New Roman" w:hAnsi="Arial" w:cs="Arial"/>
          <w:color w:val="000000"/>
          <w:kern w:val="0"/>
          <w:sz w:val="21"/>
          <w:szCs w:val="21"/>
          <w:lang w:eastAsia="it-IT"/>
          <w14:ligatures w14:val="none"/>
        </w:rPr>
        <w:t>, ma tradisce chiaramente quale sia la doppia finalità:</w:t>
      </w:r>
    </w:p>
    <w:p w14:paraId="5AC732C4" w14:textId="77777777" w:rsidR="00A54AAA" w:rsidRPr="00A54AAA" w:rsidRDefault="00A54AAA" w:rsidP="00A54AAA">
      <w:pPr>
        <w:numPr>
          <w:ilvl w:val="0"/>
          <w:numId w:val="2"/>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A54AAA">
        <w:rPr>
          <w:rFonts w:ascii="Arial" w:eastAsia="Times New Roman" w:hAnsi="Arial" w:cs="Arial"/>
          <w:color w:val="000000"/>
          <w:kern w:val="0"/>
          <w:sz w:val="21"/>
          <w:szCs w:val="21"/>
          <w:lang w:eastAsia="it-IT"/>
          <w14:ligatures w14:val="none"/>
        </w:rPr>
        <w:t>tagliare in modo lineare il sistema pubblico dell’istruzione e le risorse destinate;</w:t>
      </w:r>
    </w:p>
    <w:p w14:paraId="26F363A5" w14:textId="77777777" w:rsidR="00A54AAA" w:rsidRPr="00A54AAA" w:rsidRDefault="00A54AAA" w:rsidP="00A54AAA">
      <w:pPr>
        <w:numPr>
          <w:ilvl w:val="0"/>
          <w:numId w:val="2"/>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A54AAA">
        <w:rPr>
          <w:rFonts w:ascii="Arial" w:eastAsia="Times New Roman" w:hAnsi="Arial" w:cs="Arial"/>
          <w:color w:val="000000"/>
          <w:kern w:val="0"/>
          <w:sz w:val="21"/>
          <w:szCs w:val="21"/>
          <w:lang w:eastAsia="it-IT"/>
          <w14:ligatures w14:val="none"/>
        </w:rPr>
        <w:t>spostare quanto prima i giovani verso l’offerta produttiva del Paese.</w:t>
      </w:r>
    </w:p>
    <w:p w14:paraId="62426DA2" w14:textId="77777777" w:rsidR="00A54AAA" w:rsidRP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54AAA">
        <w:rPr>
          <w:rFonts w:ascii="Arial" w:eastAsia="Times New Roman" w:hAnsi="Arial" w:cs="Arial"/>
          <w:color w:val="000000"/>
          <w:kern w:val="0"/>
          <w:sz w:val="21"/>
          <w:szCs w:val="21"/>
          <w:lang w:eastAsia="it-IT"/>
          <w14:ligatures w14:val="none"/>
        </w:rPr>
        <w:t>D’altro canto, la finalità dichiarata appare perfino contraddittoria: con una durata inferiore del percorso scolastico si propone di “garantire la piena realizzazione del diritto-dovere di istruzione e formazione”. </w:t>
      </w:r>
      <w:r w:rsidRPr="00A54AAA">
        <w:rPr>
          <w:rFonts w:ascii="Arial" w:eastAsia="Times New Roman" w:hAnsi="Arial" w:cs="Arial"/>
          <w:b/>
          <w:bCs/>
          <w:color w:val="000000"/>
          <w:kern w:val="0"/>
          <w:sz w:val="21"/>
          <w:szCs w:val="21"/>
          <w:lang w:eastAsia="it-IT"/>
          <w14:ligatures w14:val="none"/>
        </w:rPr>
        <w:t>I </w:t>
      </w:r>
      <w:hyperlink r:id="rId5" w:tgtFrame="_blank" w:history="1">
        <w:r w:rsidRPr="00A54AAA">
          <w:rPr>
            <w:rFonts w:ascii="Arial" w:eastAsia="Times New Roman" w:hAnsi="Arial" w:cs="Arial"/>
            <w:b/>
            <w:bCs/>
            <w:color w:val="005EB3"/>
            <w:kern w:val="0"/>
            <w:sz w:val="21"/>
            <w:szCs w:val="21"/>
            <w:lang w:eastAsia="it-IT"/>
            <w14:ligatures w14:val="none"/>
          </w:rPr>
          <w:t>recenti dati OCSE</w:t>
        </w:r>
      </w:hyperlink>
      <w:r w:rsidRPr="00A54AAA">
        <w:rPr>
          <w:rFonts w:ascii="Arial" w:eastAsia="Times New Roman" w:hAnsi="Arial" w:cs="Arial"/>
          <w:color w:val="000000"/>
          <w:kern w:val="0"/>
          <w:sz w:val="21"/>
          <w:szCs w:val="21"/>
          <w:lang w:eastAsia="it-IT"/>
          <w14:ligatures w14:val="none"/>
        </w:rPr>
        <w:t> relativi all’occupazione nel nostro Paese (solo il 57% dei 25-34enni senza diploma di maturità trova lavoro, a fronte del 69% dei diplomati, mentre il 27% della popolazione fra i 25 e i 64 anni non diplomata guadagna la metà o meno del reddito medio) </w:t>
      </w:r>
      <w:hyperlink r:id="rId6" w:tgtFrame="_blank" w:history="1">
        <w:r w:rsidRPr="00A54AAA">
          <w:rPr>
            <w:rFonts w:ascii="Arial" w:eastAsia="Times New Roman" w:hAnsi="Arial" w:cs="Arial"/>
            <w:b/>
            <w:bCs/>
            <w:color w:val="005EB3"/>
            <w:kern w:val="0"/>
            <w:sz w:val="21"/>
            <w:szCs w:val="21"/>
            <w:lang w:eastAsia="it-IT"/>
            <w14:ligatures w14:val="none"/>
          </w:rPr>
          <w:t>dimostrano</w:t>
        </w:r>
      </w:hyperlink>
      <w:r w:rsidRPr="00A54AAA">
        <w:rPr>
          <w:rFonts w:ascii="Arial" w:eastAsia="Times New Roman" w:hAnsi="Arial" w:cs="Arial"/>
          <w:b/>
          <w:bCs/>
          <w:color w:val="000000"/>
          <w:kern w:val="0"/>
          <w:sz w:val="21"/>
          <w:szCs w:val="21"/>
          <w:lang w:eastAsia="it-IT"/>
          <w14:ligatures w14:val="none"/>
        </w:rPr>
        <w:t> senza alcun dubbio che studiare di più aiuta a trovare lavoro e a guadagnare meglio. </w:t>
      </w:r>
    </w:p>
    <w:p w14:paraId="2974BEA3" w14:textId="77777777" w:rsidR="00A54AAA" w:rsidRP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54AAA">
        <w:rPr>
          <w:rFonts w:ascii="Arial" w:eastAsia="Times New Roman" w:hAnsi="Arial" w:cs="Arial"/>
          <w:color w:val="000000"/>
          <w:kern w:val="0"/>
          <w:sz w:val="21"/>
          <w:szCs w:val="21"/>
          <w:lang w:eastAsia="it-IT"/>
          <w14:ligatures w14:val="none"/>
        </w:rPr>
        <w:t xml:space="preserve">Secondo il </w:t>
      </w:r>
      <w:proofErr w:type="spellStart"/>
      <w:r w:rsidRPr="00A54AAA">
        <w:rPr>
          <w:rFonts w:ascii="Arial" w:eastAsia="Times New Roman" w:hAnsi="Arial" w:cs="Arial"/>
          <w:color w:val="000000"/>
          <w:kern w:val="0"/>
          <w:sz w:val="21"/>
          <w:szCs w:val="21"/>
          <w:lang w:eastAsia="it-IT"/>
          <w14:ligatures w14:val="none"/>
        </w:rPr>
        <w:t>ddl</w:t>
      </w:r>
      <w:proofErr w:type="spellEnd"/>
      <w:r w:rsidRPr="00A54AAA">
        <w:rPr>
          <w:rFonts w:ascii="Arial" w:eastAsia="Times New Roman" w:hAnsi="Arial" w:cs="Arial"/>
          <w:color w:val="000000"/>
          <w:kern w:val="0"/>
          <w:sz w:val="21"/>
          <w:szCs w:val="21"/>
          <w:lang w:eastAsia="it-IT"/>
          <w14:ligatures w14:val="none"/>
        </w:rPr>
        <w:t xml:space="preserve"> n. 1739, la scuola secondaria di secondo grado dovrebbe assicurare in quattro anni l’insegnamento di tutte le discipline già previste dall’indirizzo di studi di riferimento e i livelli di competenze oggi fissati per i percorsi di cinque anni. Insomma, </w:t>
      </w:r>
      <w:r w:rsidRPr="00A54AAA">
        <w:rPr>
          <w:rFonts w:ascii="Arial" w:eastAsia="Times New Roman" w:hAnsi="Arial" w:cs="Arial"/>
          <w:b/>
          <w:bCs/>
          <w:color w:val="000000"/>
          <w:kern w:val="0"/>
          <w:sz w:val="21"/>
          <w:szCs w:val="21"/>
          <w:lang w:eastAsia="it-IT"/>
          <w14:ligatures w14:val="none"/>
        </w:rPr>
        <w:t>si passa da cinque a quattro anni e ogni scuola con l’utilizzo dell’autonomia dovrà provvedere al proprio adattamento curriculare: una vera e propria deregolamentazione dei percorsi nazionali di istruzione, un ulteriore attacco al valore legale del titolo di studio</w:t>
      </w:r>
      <w:r w:rsidRPr="00A54AAA">
        <w:rPr>
          <w:rFonts w:ascii="Arial" w:eastAsia="Times New Roman" w:hAnsi="Arial" w:cs="Arial"/>
          <w:color w:val="000000"/>
          <w:kern w:val="0"/>
          <w:sz w:val="21"/>
          <w:szCs w:val="21"/>
          <w:lang w:eastAsia="it-IT"/>
          <w14:ligatures w14:val="none"/>
        </w:rPr>
        <w:t>. La trasformazione dei percorsi quadriennali in un piano ordinamentale nazionale non può più consentire il ricorso ad adattamenti fai da te rispetto alla durata del calendario scolastico e della scansione del curriculo, ma dovrebbe determinare un riadattamento di quadri orari e profili in uscita, nonostante il testo della proposta di legge ammetta per il sistema di istruzione nazionale “l’elevata qualità degli insegnamenti, da sempre riconosciuta anche all’estero”.</w:t>
      </w:r>
    </w:p>
    <w:p w14:paraId="7EC2446F" w14:textId="77777777" w:rsidR="00A54AAA" w:rsidRP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54AAA">
        <w:rPr>
          <w:rFonts w:ascii="Arial" w:eastAsia="Times New Roman" w:hAnsi="Arial" w:cs="Arial"/>
          <w:color w:val="000000"/>
          <w:kern w:val="0"/>
          <w:sz w:val="21"/>
          <w:szCs w:val="21"/>
          <w:lang w:eastAsia="it-IT"/>
          <w14:ligatures w14:val="none"/>
        </w:rPr>
        <w:lastRenderedPageBreak/>
        <w:t>In presenza di una riduzione di un quinto del tempo scuola, senza la predisposizione di specifici quadri orari articolati con attività didattica in compresenza, </w:t>
      </w:r>
      <w:r w:rsidRPr="00A54AAA">
        <w:rPr>
          <w:rFonts w:ascii="Arial" w:eastAsia="Times New Roman" w:hAnsi="Arial" w:cs="Arial"/>
          <w:b/>
          <w:bCs/>
          <w:color w:val="000000"/>
          <w:kern w:val="0"/>
          <w:sz w:val="21"/>
          <w:szCs w:val="21"/>
          <w:lang w:eastAsia="it-IT"/>
          <w14:ligatures w14:val="none"/>
        </w:rPr>
        <w:t>appare difficilmente credibile e comprensibile l’invarianza delle dotazioni organiche</w:t>
      </w:r>
      <w:r w:rsidRPr="00A54AAA">
        <w:rPr>
          <w:rFonts w:ascii="Arial" w:eastAsia="Times New Roman" w:hAnsi="Arial" w:cs="Arial"/>
          <w:color w:val="000000"/>
          <w:kern w:val="0"/>
          <w:sz w:val="21"/>
          <w:szCs w:val="21"/>
          <w:lang w:eastAsia="it-IT"/>
          <w14:ligatures w14:val="none"/>
        </w:rPr>
        <w:t>. </w:t>
      </w:r>
      <w:r w:rsidRPr="00A54AAA">
        <w:rPr>
          <w:rFonts w:ascii="Arial" w:eastAsia="Times New Roman" w:hAnsi="Arial" w:cs="Arial"/>
          <w:b/>
          <w:bCs/>
          <w:color w:val="000000"/>
          <w:kern w:val="0"/>
          <w:sz w:val="21"/>
          <w:szCs w:val="21"/>
          <w:lang w:eastAsia="it-IT"/>
          <w14:ligatures w14:val="none"/>
        </w:rPr>
        <w:t>Per le cattedre di sostegno, invece, sarà automatica la riduzione degli organici del 20% </w:t>
      </w:r>
      <w:r w:rsidRPr="00A54AAA">
        <w:rPr>
          <w:rFonts w:ascii="Arial" w:eastAsia="Times New Roman" w:hAnsi="Arial" w:cs="Arial"/>
          <w:color w:val="000000"/>
          <w:kern w:val="0"/>
          <w:sz w:val="21"/>
          <w:szCs w:val="21"/>
          <w:lang w:eastAsia="it-IT"/>
          <w14:ligatures w14:val="none"/>
        </w:rPr>
        <w:t>in relazione all’abbreviamento del percorso di studio dei singoli studenti.</w:t>
      </w:r>
    </w:p>
    <w:p w14:paraId="7DC852A0" w14:textId="77777777" w:rsidR="00A54AAA" w:rsidRP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54AAA">
        <w:rPr>
          <w:rFonts w:ascii="Arial" w:eastAsia="Times New Roman" w:hAnsi="Arial" w:cs="Arial"/>
          <w:color w:val="000000"/>
          <w:kern w:val="0"/>
          <w:sz w:val="21"/>
          <w:szCs w:val="21"/>
          <w:lang w:eastAsia="it-IT"/>
          <w14:ligatures w14:val="none"/>
        </w:rPr>
        <w:t>A partire dalla tempistica della presentazione della proposta di legge, depositata alla Camera dei deputati il 26 febbraio 2024, </w:t>
      </w:r>
      <w:r w:rsidRPr="00A54AAA">
        <w:rPr>
          <w:rFonts w:ascii="Arial" w:eastAsia="Times New Roman" w:hAnsi="Arial" w:cs="Arial"/>
          <w:b/>
          <w:bCs/>
          <w:color w:val="000000"/>
          <w:kern w:val="0"/>
          <w:sz w:val="21"/>
          <w:szCs w:val="21"/>
          <w:lang w:eastAsia="it-IT"/>
          <w14:ligatures w14:val="none"/>
        </w:rPr>
        <w:t>appare evidente l’imposizione della durata quadriennale ordinamentale per tutti gli indirizzi, a fronte del fallimento della Filiera tecnologico-professionale</w:t>
      </w:r>
      <w:r w:rsidRPr="00A54AAA">
        <w:rPr>
          <w:rFonts w:ascii="Arial" w:eastAsia="Times New Roman" w:hAnsi="Arial" w:cs="Arial"/>
          <w:color w:val="000000"/>
          <w:kern w:val="0"/>
          <w:sz w:val="21"/>
          <w:szCs w:val="21"/>
          <w:lang w:eastAsia="it-IT"/>
          <w14:ligatures w14:val="none"/>
        </w:rPr>
        <w:t>, </w:t>
      </w:r>
      <w:r w:rsidRPr="00A54AAA">
        <w:rPr>
          <w:rFonts w:ascii="Arial" w:eastAsia="Times New Roman" w:hAnsi="Arial" w:cs="Arial"/>
          <w:b/>
          <w:bCs/>
          <w:color w:val="000000"/>
          <w:kern w:val="0"/>
          <w:sz w:val="21"/>
          <w:szCs w:val="21"/>
          <w:lang w:eastAsia="it-IT"/>
          <w14:ligatures w14:val="none"/>
        </w:rPr>
        <w:t>che si era appoggiata sulla sperimentazione</w:t>
      </w:r>
      <w:r w:rsidRPr="00A54AAA">
        <w:rPr>
          <w:rFonts w:ascii="Arial" w:eastAsia="Times New Roman" w:hAnsi="Arial" w:cs="Arial"/>
          <w:color w:val="000000"/>
          <w:kern w:val="0"/>
          <w:sz w:val="21"/>
          <w:szCs w:val="21"/>
          <w:lang w:eastAsia="it-IT"/>
          <w14:ligatures w14:val="none"/>
        </w:rPr>
        <w:t> quadriennale del D.M. 240/2023, cioè su un percorso fondato sulle adesioni scelte liberamente dalla comunità scolastica. Ricordiamo che il Ministro Valditara, nella giornata del 17 gennaio 2024, con toni trionfalistici ha comunicato l’adesione di soli 171 istituti tecnici e professionali per 193 corsi su tutto il territorio nazionale. </w:t>
      </w:r>
      <w:r w:rsidRPr="00A54AAA">
        <w:rPr>
          <w:rFonts w:ascii="Arial" w:eastAsia="Times New Roman" w:hAnsi="Arial" w:cs="Arial"/>
          <w:b/>
          <w:bCs/>
          <w:color w:val="000000"/>
          <w:kern w:val="0"/>
          <w:sz w:val="21"/>
          <w:szCs w:val="21"/>
          <w:lang w:eastAsia="it-IT"/>
          <w14:ligatures w14:val="none"/>
        </w:rPr>
        <w:t>Questa imposizione segna addirittura di un passo indietro rispetto al 4+2 </w:t>
      </w:r>
      <w:r w:rsidRPr="00A54AAA">
        <w:rPr>
          <w:rFonts w:ascii="Arial" w:eastAsia="Times New Roman" w:hAnsi="Arial" w:cs="Arial"/>
          <w:color w:val="000000"/>
          <w:kern w:val="0"/>
          <w:sz w:val="21"/>
          <w:szCs w:val="21"/>
          <w:lang w:eastAsia="it-IT"/>
          <w14:ligatures w14:val="none"/>
        </w:rPr>
        <w:t>lanciato con la proposta spot della Filiera, in cui si faceva credere ad un ampliamento della formazione a sei anni, che nasconde </w:t>
      </w:r>
      <w:r w:rsidRPr="00A54AAA">
        <w:rPr>
          <w:rFonts w:ascii="Arial" w:eastAsia="Times New Roman" w:hAnsi="Arial" w:cs="Arial"/>
          <w:b/>
          <w:bCs/>
          <w:color w:val="000000"/>
          <w:kern w:val="0"/>
          <w:sz w:val="21"/>
          <w:szCs w:val="21"/>
          <w:lang w:eastAsia="it-IT"/>
          <w14:ligatures w14:val="none"/>
        </w:rPr>
        <w:t>la effettiva riduzione del ciclo di studi secondario, oggi non più celata.</w:t>
      </w:r>
    </w:p>
    <w:p w14:paraId="0916D185" w14:textId="77777777" w:rsidR="00A54AAA" w:rsidRP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54AAA">
        <w:rPr>
          <w:rFonts w:ascii="Arial" w:eastAsia="Times New Roman" w:hAnsi="Arial" w:cs="Arial"/>
          <w:color w:val="000000"/>
          <w:kern w:val="0"/>
          <w:sz w:val="21"/>
          <w:szCs w:val="21"/>
          <w:lang w:eastAsia="it-IT"/>
          <w14:ligatures w14:val="none"/>
        </w:rPr>
        <w:t>A partire dall’anno scolastico 2018/2019 sono stati avviati diversi tentativi di introduzione di percorsi quadriennali sperimentali. Il primo era destinato a 100 classi prime, ampliato ad altre 92 scuole (decreto 89 del 2 febbraio 2018). </w:t>
      </w:r>
      <w:r w:rsidRPr="00A54AAA">
        <w:rPr>
          <w:rFonts w:ascii="Arial" w:eastAsia="Times New Roman" w:hAnsi="Arial" w:cs="Arial"/>
          <w:b/>
          <w:bCs/>
          <w:color w:val="000000"/>
          <w:kern w:val="0"/>
          <w:sz w:val="21"/>
          <w:szCs w:val="21"/>
          <w:lang w:eastAsia="it-IT"/>
          <w14:ligatures w14:val="none"/>
        </w:rPr>
        <w:t>Delle 192 scuole coinvolte</w:t>
      </w:r>
      <w:r w:rsidRPr="00A54AAA">
        <w:rPr>
          <w:rFonts w:ascii="Arial" w:eastAsia="Times New Roman" w:hAnsi="Arial" w:cs="Arial"/>
          <w:color w:val="000000"/>
          <w:kern w:val="0"/>
          <w:sz w:val="21"/>
          <w:szCs w:val="21"/>
          <w:lang w:eastAsia="it-IT"/>
          <w14:ligatures w14:val="none"/>
        </w:rPr>
        <w:t>, composte da 127 scuole statali e da 65 paritarie, di cui 144 Licei e 48 istituti tecnici, </w:t>
      </w:r>
      <w:r w:rsidRPr="00A54AAA">
        <w:rPr>
          <w:rFonts w:ascii="Arial" w:eastAsia="Times New Roman" w:hAnsi="Arial" w:cs="Arial"/>
          <w:b/>
          <w:bCs/>
          <w:color w:val="000000"/>
          <w:kern w:val="0"/>
          <w:sz w:val="21"/>
          <w:szCs w:val="21"/>
          <w:lang w:eastAsia="it-IT"/>
          <w14:ligatures w14:val="none"/>
        </w:rPr>
        <w:t>sono state autorizzate 175 classi</w:t>
      </w:r>
      <w:r w:rsidRPr="00A54AAA">
        <w:rPr>
          <w:rFonts w:ascii="Arial" w:eastAsia="Times New Roman" w:hAnsi="Arial" w:cs="Arial"/>
          <w:color w:val="000000"/>
          <w:kern w:val="0"/>
          <w:sz w:val="21"/>
          <w:szCs w:val="21"/>
          <w:lang w:eastAsia="it-IT"/>
          <w14:ligatures w14:val="none"/>
        </w:rPr>
        <w:t> dall’anno scolastico successivo </w:t>
      </w:r>
      <w:r w:rsidRPr="00A54AAA">
        <w:rPr>
          <w:rFonts w:ascii="Arial" w:eastAsia="Times New Roman" w:hAnsi="Arial" w:cs="Arial"/>
          <w:b/>
          <w:bCs/>
          <w:color w:val="000000"/>
          <w:kern w:val="0"/>
          <w:sz w:val="21"/>
          <w:szCs w:val="21"/>
          <w:lang w:eastAsia="it-IT"/>
          <w14:ligatures w14:val="none"/>
        </w:rPr>
        <w:t>e</w:t>
      </w:r>
      <w:r w:rsidRPr="00A54AAA">
        <w:rPr>
          <w:rFonts w:ascii="Arial" w:eastAsia="Times New Roman" w:hAnsi="Arial" w:cs="Arial"/>
          <w:color w:val="000000"/>
          <w:kern w:val="0"/>
          <w:sz w:val="21"/>
          <w:szCs w:val="21"/>
          <w:lang w:eastAsia="it-IT"/>
          <w14:ligatures w14:val="none"/>
        </w:rPr>
        <w:t> </w:t>
      </w:r>
      <w:r w:rsidRPr="00A54AAA">
        <w:rPr>
          <w:rFonts w:ascii="Arial" w:eastAsia="Times New Roman" w:hAnsi="Arial" w:cs="Arial"/>
          <w:b/>
          <w:bCs/>
          <w:color w:val="000000"/>
          <w:kern w:val="0"/>
          <w:sz w:val="21"/>
          <w:szCs w:val="21"/>
          <w:lang w:eastAsia="it-IT"/>
          <w14:ligatures w14:val="none"/>
        </w:rPr>
        <w:t>i rinnovi si sono ridotti a 98</w:t>
      </w:r>
      <w:r w:rsidRPr="00A54AAA">
        <w:rPr>
          <w:rFonts w:ascii="Arial" w:eastAsia="Times New Roman" w:hAnsi="Arial" w:cs="Arial"/>
          <w:color w:val="000000"/>
          <w:kern w:val="0"/>
          <w:sz w:val="21"/>
          <w:szCs w:val="21"/>
          <w:lang w:eastAsia="it-IT"/>
          <w14:ligatures w14:val="none"/>
        </w:rPr>
        <w:t> (dati MIM luglio 2023). Era, pertanto, già incomprensibile la scelta dell’allora ministro Bianchi di ampliare da 100 a 1000 scuole la sperimentazione dei quadriennali (dm 344/21) e i numeri di oggi rafforzano quella convinzione, visto che </w:t>
      </w:r>
      <w:r w:rsidRPr="00A54AAA">
        <w:rPr>
          <w:rFonts w:ascii="Arial" w:eastAsia="Times New Roman" w:hAnsi="Arial" w:cs="Arial"/>
          <w:b/>
          <w:bCs/>
          <w:color w:val="000000"/>
          <w:kern w:val="0"/>
          <w:sz w:val="21"/>
          <w:szCs w:val="21"/>
          <w:lang w:eastAsia="it-IT"/>
          <w14:ligatures w14:val="none"/>
        </w:rPr>
        <w:t>solo 243 scuole, sulle 1000 previste</w:t>
      </w:r>
      <w:r w:rsidRPr="00A54AAA">
        <w:rPr>
          <w:rFonts w:ascii="Arial" w:eastAsia="Times New Roman" w:hAnsi="Arial" w:cs="Arial"/>
          <w:color w:val="000000"/>
          <w:kern w:val="0"/>
          <w:sz w:val="21"/>
          <w:szCs w:val="21"/>
          <w:lang w:eastAsia="it-IT"/>
          <w14:ligatures w14:val="none"/>
        </w:rPr>
        <w:t>, hanno chiesto di sperimentare il modello del “diploma in 4 anni”. </w:t>
      </w:r>
      <w:r w:rsidRPr="00A54AAA">
        <w:rPr>
          <w:rFonts w:ascii="Arial" w:eastAsia="Times New Roman" w:hAnsi="Arial" w:cs="Arial"/>
          <w:b/>
          <w:bCs/>
          <w:color w:val="000000"/>
          <w:kern w:val="0"/>
          <w:sz w:val="21"/>
          <w:szCs w:val="21"/>
          <w:lang w:eastAsia="it-IT"/>
          <w14:ligatures w14:val="none"/>
        </w:rPr>
        <w:t>I dati forniti dallo stesso ministero</w:t>
      </w:r>
      <w:r w:rsidRPr="00A54AAA">
        <w:rPr>
          <w:rFonts w:ascii="Arial" w:eastAsia="Times New Roman" w:hAnsi="Arial" w:cs="Arial"/>
          <w:color w:val="000000"/>
          <w:kern w:val="0"/>
          <w:sz w:val="21"/>
          <w:szCs w:val="21"/>
          <w:lang w:eastAsia="it-IT"/>
          <w14:ligatures w14:val="none"/>
        </w:rPr>
        <w:t>, con la progressiva diminuzione delle conferme da 192 a 98, il fallimento del progetto Bianchi e i 171 istituti della filiera </w:t>
      </w:r>
      <w:r w:rsidRPr="00A54AAA">
        <w:rPr>
          <w:rFonts w:ascii="Arial" w:eastAsia="Times New Roman" w:hAnsi="Arial" w:cs="Arial"/>
          <w:b/>
          <w:bCs/>
          <w:color w:val="000000"/>
          <w:kern w:val="0"/>
          <w:sz w:val="21"/>
          <w:szCs w:val="21"/>
          <w:lang w:eastAsia="it-IT"/>
          <w14:ligatures w14:val="none"/>
        </w:rPr>
        <w:t>dimostrano che il diploma quadriennale rappresenta un’operazione non condivisibile per le scuole e le famiglie</w:t>
      </w:r>
      <w:r w:rsidRPr="00A54AAA">
        <w:rPr>
          <w:rFonts w:ascii="Arial" w:eastAsia="Times New Roman" w:hAnsi="Arial" w:cs="Arial"/>
          <w:color w:val="000000"/>
          <w:kern w:val="0"/>
          <w:sz w:val="21"/>
          <w:szCs w:val="21"/>
          <w:lang w:eastAsia="it-IT"/>
          <w14:ligatures w14:val="none"/>
        </w:rPr>
        <w:t>, oltre che per il Consiglio Superiore della Pubblica Istruzione (CSPI), che al netto di una condizionata apertura di credito nel </w:t>
      </w:r>
      <w:hyperlink r:id="rId7" w:tgtFrame="_blank" w:history="1">
        <w:r w:rsidRPr="00A54AAA">
          <w:rPr>
            <w:rFonts w:ascii="Arial" w:eastAsia="Times New Roman" w:hAnsi="Arial" w:cs="Arial"/>
            <w:color w:val="005EB3"/>
            <w:kern w:val="0"/>
            <w:sz w:val="21"/>
            <w:szCs w:val="21"/>
            <w:u w:val="single"/>
            <w:lang w:eastAsia="it-IT"/>
            <w14:ligatures w14:val="none"/>
          </w:rPr>
          <w:t>2017</w:t>
        </w:r>
      </w:hyperlink>
      <w:r w:rsidRPr="00A54AAA">
        <w:rPr>
          <w:rFonts w:ascii="Arial" w:eastAsia="Times New Roman" w:hAnsi="Arial" w:cs="Arial"/>
          <w:color w:val="000000"/>
          <w:kern w:val="0"/>
          <w:sz w:val="21"/>
          <w:szCs w:val="21"/>
          <w:lang w:eastAsia="it-IT"/>
          <w14:ligatures w14:val="none"/>
        </w:rPr>
        <w:t>, ha ripetutamente bocciato i percorsi quadriennali (nel </w:t>
      </w:r>
      <w:hyperlink r:id="rId8" w:tgtFrame="_blank" w:history="1">
        <w:r w:rsidRPr="00A54AAA">
          <w:rPr>
            <w:rFonts w:ascii="Arial" w:eastAsia="Times New Roman" w:hAnsi="Arial" w:cs="Arial"/>
            <w:color w:val="005EB3"/>
            <w:kern w:val="0"/>
            <w:sz w:val="21"/>
            <w:szCs w:val="21"/>
            <w:u w:val="single"/>
            <w:lang w:eastAsia="it-IT"/>
            <w14:ligatures w14:val="none"/>
          </w:rPr>
          <w:t>2018</w:t>
        </w:r>
      </w:hyperlink>
      <w:r w:rsidRPr="00A54AAA">
        <w:rPr>
          <w:rFonts w:ascii="Arial" w:eastAsia="Times New Roman" w:hAnsi="Arial" w:cs="Arial"/>
          <w:color w:val="000000"/>
          <w:kern w:val="0"/>
          <w:sz w:val="21"/>
          <w:szCs w:val="21"/>
          <w:lang w:eastAsia="it-IT"/>
          <w14:ligatures w14:val="none"/>
        </w:rPr>
        <w:t>, nel </w:t>
      </w:r>
      <w:hyperlink r:id="rId9" w:tgtFrame="_blank" w:history="1">
        <w:r w:rsidRPr="00A54AAA">
          <w:rPr>
            <w:rFonts w:ascii="Arial" w:eastAsia="Times New Roman" w:hAnsi="Arial" w:cs="Arial"/>
            <w:color w:val="005EB3"/>
            <w:kern w:val="0"/>
            <w:sz w:val="21"/>
            <w:szCs w:val="21"/>
            <w:u w:val="single"/>
            <w:lang w:eastAsia="it-IT"/>
            <w14:ligatures w14:val="none"/>
          </w:rPr>
          <w:t>2021</w:t>
        </w:r>
      </w:hyperlink>
      <w:r w:rsidRPr="00A54AAA">
        <w:rPr>
          <w:rFonts w:ascii="Arial" w:eastAsia="Times New Roman" w:hAnsi="Arial" w:cs="Arial"/>
          <w:color w:val="000000"/>
          <w:kern w:val="0"/>
          <w:sz w:val="21"/>
          <w:szCs w:val="21"/>
          <w:lang w:eastAsia="it-IT"/>
          <w14:ligatures w14:val="none"/>
        </w:rPr>
        <w:t> e nel </w:t>
      </w:r>
      <w:hyperlink r:id="rId10" w:tgtFrame="_blank" w:history="1">
        <w:r w:rsidRPr="00A54AAA">
          <w:rPr>
            <w:rFonts w:ascii="Arial" w:eastAsia="Times New Roman" w:hAnsi="Arial" w:cs="Arial"/>
            <w:color w:val="005EB3"/>
            <w:kern w:val="0"/>
            <w:sz w:val="21"/>
            <w:szCs w:val="21"/>
            <w:u w:val="single"/>
            <w:lang w:eastAsia="it-IT"/>
            <w14:ligatures w14:val="none"/>
          </w:rPr>
          <w:t>2023</w:t>
        </w:r>
      </w:hyperlink>
      <w:r w:rsidRPr="00A54AAA">
        <w:rPr>
          <w:rFonts w:ascii="Arial" w:eastAsia="Times New Roman" w:hAnsi="Arial" w:cs="Arial"/>
          <w:color w:val="000000"/>
          <w:kern w:val="0"/>
          <w:sz w:val="21"/>
          <w:szCs w:val="21"/>
          <w:lang w:eastAsia="it-IT"/>
          <w14:ligatures w14:val="none"/>
        </w:rPr>
        <w:t> ). Pertanto, appare assolutamente ingiustificata la definizione contenuta nell’introduzione alla proposta di legge n.1739 di una sperimentazione come “ottima pratica”. </w:t>
      </w:r>
      <w:r w:rsidRPr="00A54AAA">
        <w:rPr>
          <w:rFonts w:ascii="Arial" w:eastAsia="Times New Roman" w:hAnsi="Arial" w:cs="Arial"/>
          <w:b/>
          <w:bCs/>
          <w:color w:val="000000"/>
          <w:kern w:val="0"/>
          <w:sz w:val="21"/>
          <w:szCs w:val="21"/>
          <w:lang w:eastAsia="it-IT"/>
          <w14:ligatures w14:val="none"/>
        </w:rPr>
        <w:t>Si tratta evidentemente di una forzatura o, addirittura, di una imposizione d’autorità rispetto ad una idea di istruzione che la scuola ha già rifiutato con chiarezza.</w:t>
      </w:r>
    </w:p>
    <w:p w14:paraId="4B708580" w14:textId="77777777" w:rsidR="00A54AAA" w:rsidRP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54AAA">
        <w:rPr>
          <w:rFonts w:ascii="Arial" w:eastAsia="Times New Roman" w:hAnsi="Arial" w:cs="Arial"/>
          <w:color w:val="000000"/>
          <w:kern w:val="0"/>
          <w:sz w:val="21"/>
          <w:szCs w:val="21"/>
          <w:lang w:eastAsia="it-IT"/>
          <w14:ligatures w14:val="none"/>
        </w:rPr>
        <w:t>Infine, </w:t>
      </w:r>
      <w:r w:rsidRPr="00A54AAA">
        <w:rPr>
          <w:rFonts w:ascii="Arial" w:eastAsia="Times New Roman" w:hAnsi="Arial" w:cs="Arial"/>
          <w:b/>
          <w:bCs/>
          <w:color w:val="000000"/>
          <w:kern w:val="0"/>
          <w:sz w:val="21"/>
          <w:szCs w:val="21"/>
          <w:lang w:eastAsia="it-IT"/>
          <w14:ligatures w14:val="none"/>
        </w:rPr>
        <w:t>è necessario sfatare il mito del divario fra il nostro Paese e il resto d’Europa in cui la maggior parte dei Paesi conclude i percorsi secondari a diciotto anni</w:t>
      </w:r>
      <w:r w:rsidRPr="00A54AAA">
        <w:rPr>
          <w:rFonts w:ascii="Arial" w:eastAsia="Times New Roman" w:hAnsi="Arial" w:cs="Arial"/>
          <w:color w:val="000000"/>
          <w:kern w:val="0"/>
          <w:sz w:val="21"/>
          <w:szCs w:val="21"/>
          <w:lang w:eastAsia="it-IT"/>
          <w14:ligatures w14:val="none"/>
        </w:rPr>
        <w:t>. Infatti, come ribadito nella premessa al disegno di legge, ciò come avviene solo “in metà dei Paesi dell’Unione europea (tredici su ventisette)”, molti dei quali non costituiscono modelli scolastici ai vertici del confronto, mentre bisogna rammentare che i dati OCSE confermano che i risultati migliori si conseguono lì dove si assicura un più lungo periodo di istruzione.</w:t>
      </w:r>
    </w:p>
    <w:p w14:paraId="36BE6375" w14:textId="77777777" w:rsidR="00A54AAA" w:rsidRPr="00A54AAA" w:rsidRDefault="00A54AAA" w:rsidP="00A54AA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54AAA">
        <w:rPr>
          <w:rFonts w:ascii="Arial" w:eastAsia="Times New Roman" w:hAnsi="Arial" w:cs="Arial"/>
          <w:color w:val="000000"/>
          <w:kern w:val="0"/>
          <w:sz w:val="21"/>
          <w:szCs w:val="21"/>
          <w:lang w:eastAsia="it-IT"/>
          <w14:ligatures w14:val="none"/>
        </w:rPr>
        <w:t>Secondo la FLC CGIL, </w:t>
      </w:r>
      <w:r w:rsidRPr="00A54AAA">
        <w:rPr>
          <w:rFonts w:ascii="Arial" w:eastAsia="Times New Roman" w:hAnsi="Arial" w:cs="Arial"/>
          <w:b/>
          <w:bCs/>
          <w:color w:val="000000"/>
          <w:kern w:val="0"/>
          <w:sz w:val="21"/>
          <w:szCs w:val="21"/>
          <w:lang w:eastAsia="it-IT"/>
          <w14:ligatures w14:val="none"/>
        </w:rPr>
        <w:t>il sistema d’istruzione nazionale ha il compito di formare i bambini e le bambine in futuri cittadini, seguendoli nel percorsi per diventare consapevoli e operare i cambiamenti che il progresso richiede</w:t>
      </w:r>
      <w:r w:rsidRPr="00A54AAA">
        <w:rPr>
          <w:rFonts w:ascii="Arial" w:eastAsia="Times New Roman" w:hAnsi="Arial" w:cs="Arial"/>
          <w:color w:val="000000"/>
          <w:kern w:val="0"/>
          <w:sz w:val="21"/>
          <w:szCs w:val="21"/>
          <w:lang w:eastAsia="it-IT"/>
          <w14:ligatures w14:val="none"/>
        </w:rPr>
        <w:t>, e non deve avere l’obiettivo di avviare in fretta i giovani verso il mondo del lavoro, anche in considerazione delle difficoltà che il mercato italiano presenta, ma deve, al contrario, fornire strumenti più approfonditi per affrontarlo, perché essi stessi diventino lavoratrici e lavoratori più competenti e, quindi, possa migliorare nel complesso anche il sistema Paese.</w:t>
      </w:r>
    </w:p>
    <w:bookmarkEnd w:id="0"/>
    <w:p w14:paraId="6CAE9434" w14:textId="77777777" w:rsidR="00A54AAA" w:rsidRPr="004276FC" w:rsidRDefault="00A54AAA" w:rsidP="004276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sectPr w:rsidR="00A54AAA" w:rsidRPr="004276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Increase  text size" style="width:12pt;height:10.8pt;visibility:visible;mso-wrap-style:square" o:bullet="t">
        <v:imagedata r:id="rId1" o:title="Increase  text size"/>
      </v:shape>
    </w:pict>
  </w:numPicBullet>
  <w:abstractNum w:abstractNumId="0" w15:restartNumberingAfterBreak="0">
    <w:nsid w:val="0C73553A"/>
    <w:multiLevelType w:val="hybridMultilevel"/>
    <w:tmpl w:val="D4AA39A8"/>
    <w:lvl w:ilvl="0" w:tplc="5BC02D10">
      <w:start w:val="1"/>
      <w:numFmt w:val="bullet"/>
      <w:lvlText w:val=""/>
      <w:lvlPicBulletId w:val="0"/>
      <w:lvlJc w:val="left"/>
      <w:pPr>
        <w:tabs>
          <w:tab w:val="num" w:pos="720"/>
        </w:tabs>
        <w:ind w:left="720" w:hanging="360"/>
      </w:pPr>
      <w:rPr>
        <w:rFonts w:ascii="Symbol" w:hAnsi="Symbol" w:hint="default"/>
      </w:rPr>
    </w:lvl>
    <w:lvl w:ilvl="1" w:tplc="2CD2E1C0" w:tentative="1">
      <w:start w:val="1"/>
      <w:numFmt w:val="bullet"/>
      <w:lvlText w:val=""/>
      <w:lvlJc w:val="left"/>
      <w:pPr>
        <w:tabs>
          <w:tab w:val="num" w:pos="1440"/>
        </w:tabs>
        <w:ind w:left="1440" w:hanging="360"/>
      </w:pPr>
      <w:rPr>
        <w:rFonts w:ascii="Symbol" w:hAnsi="Symbol" w:hint="default"/>
      </w:rPr>
    </w:lvl>
    <w:lvl w:ilvl="2" w:tplc="1A4886D6" w:tentative="1">
      <w:start w:val="1"/>
      <w:numFmt w:val="bullet"/>
      <w:lvlText w:val=""/>
      <w:lvlJc w:val="left"/>
      <w:pPr>
        <w:tabs>
          <w:tab w:val="num" w:pos="2160"/>
        </w:tabs>
        <w:ind w:left="2160" w:hanging="360"/>
      </w:pPr>
      <w:rPr>
        <w:rFonts w:ascii="Symbol" w:hAnsi="Symbol" w:hint="default"/>
      </w:rPr>
    </w:lvl>
    <w:lvl w:ilvl="3" w:tplc="4D18E4D8" w:tentative="1">
      <w:start w:val="1"/>
      <w:numFmt w:val="bullet"/>
      <w:lvlText w:val=""/>
      <w:lvlJc w:val="left"/>
      <w:pPr>
        <w:tabs>
          <w:tab w:val="num" w:pos="2880"/>
        </w:tabs>
        <w:ind w:left="2880" w:hanging="360"/>
      </w:pPr>
      <w:rPr>
        <w:rFonts w:ascii="Symbol" w:hAnsi="Symbol" w:hint="default"/>
      </w:rPr>
    </w:lvl>
    <w:lvl w:ilvl="4" w:tplc="E89E97A4" w:tentative="1">
      <w:start w:val="1"/>
      <w:numFmt w:val="bullet"/>
      <w:lvlText w:val=""/>
      <w:lvlJc w:val="left"/>
      <w:pPr>
        <w:tabs>
          <w:tab w:val="num" w:pos="3600"/>
        </w:tabs>
        <w:ind w:left="3600" w:hanging="360"/>
      </w:pPr>
      <w:rPr>
        <w:rFonts w:ascii="Symbol" w:hAnsi="Symbol" w:hint="default"/>
      </w:rPr>
    </w:lvl>
    <w:lvl w:ilvl="5" w:tplc="1722C154" w:tentative="1">
      <w:start w:val="1"/>
      <w:numFmt w:val="bullet"/>
      <w:lvlText w:val=""/>
      <w:lvlJc w:val="left"/>
      <w:pPr>
        <w:tabs>
          <w:tab w:val="num" w:pos="4320"/>
        </w:tabs>
        <w:ind w:left="4320" w:hanging="360"/>
      </w:pPr>
      <w:rPr>
        <w:rFonts w:ascii="Symbol" w:hAnsi="Symbol" w:hint="default"/>
      </w:rPr>
    </w:lvl>
    <w:lvl w:ilvl="6" w:tplc="4914DCC8" w:tentative="1">
      <w:start w:val="1"/>
      <w:numFmt w:val="bullet"/>
      <w:lvlText w:val=""/>
      <w:lvlJc w:val="left"/>
      <w:pPr>
        <w:tabs>
          <w:tab w:val="num" w:pos="5040"/>
        </w:tabs>
        <w:ind w:left="5040" w:hanging="360"/>
      </w:pPr>
      <w:rPr>
        <w:rFonts w:ascii="Symbol" w:hAnsi="Symbol" w:hint="default"/>
      </w:rPr>
    </w:lvl>
    <w:lvl w:ilvl="7" w:tplc="997A69F2" w:tentative="1">
      <w:start w:val="1"/>
      <w:numFmt w:val="bullet"/>
      <w:lvlText w:val=""/>
      <w:lvlJc w:val="left"/>
      <w:pPr>
        <w:tabs>
          <w:tab w:val="num" w:pos="5760"/>
        </w:tabs>
        <w:ind w:left="5760" w:hanging="360"/>
      </w:pPr>
      <w:rPr>
        <w:rFonts w:ascii="Symbol" w:hAnsi="Symbol" w:hint="default"/>
      </w:rPr>
    </w:lvl>
    <w:lvl w:ilvl="8" w:tplc="C71C17F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F5C5B67"/>
    <w:multiLevelType w:val="multilevel"/>
    <w:tmpl w:val="96A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D19A8"/>
    <w:multiLevelType w:val="multilevel"/>
    <w:tmpl w:val="FD6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261DD2"/>
    <w:multiLevelType w:val="multilevel"/>
    <w:tmpl w:val="89B08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5805960">
    <w:abstractNumId w:val="0"/>
  </w:num>
  <w:num w:numId="2" w16cid:durableId="1485701864">
    <w:abstractNumId w:val="3"/>
  </w:num>
  <w:num w:numId="3" w16cid:durableId="1252351005">
    <w:abstractNumId w:val="2"/>
  </w:num>
  <w:num w:numId="4" w16cid:durableId="2004968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FC"/>
    <w:rsid w:val="000D0D40"/>
    <w:rsid w:val="000D0EC2"/>
    <w:rsid w:val="004276FC"/>
    <w:rsid w:val="00A54AAA"/>
    <w:rsid w:val="00A746D2"/>
    <w:rsid w:val="00A958A3"/>
    <w:rsid w:val="00BC5D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E32F"/>
  <w15:chartTrackingRefBased/>
  <w15:docId w15:val="{204E37CF-71A6-4564-A417-3AC7B86F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54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43756">
      <w:bodyDiv w:val="1"/>
      <w:marLeft w:val="0"/>
      <w:marRight w:val="0"/>
      <w:marTop w:val="0"/>
      <w:marBottom w:val="0"/>
      <w:divBdr>
        <w:top w:val="none" w:sz="0" w:space="0" w:color="auto"/>
        <w:left w:val="none" w:sz="0" w:space="0" w:color="auto"/>
        <w:bottom w:val="none" w:sz="0" w:space="0" w:color="auto"/>
        <w:right w:val="none" w:sz="0" w:space="0" w:color="auto"/>
      </w:divBdr>
      <w:divsChild>
        <w:div w:id="1603029975">
          <w:marLeft w:val="0"/>
          <w:marRight w:val="0"/>
          <w:marTop w:val="150"/>
          <w:marBottom w:val="150"/>
          <w:divBdr>
            <w:top w:val="none" w:sz="0" w:space="0" w:color="auto"/>
            <w:left w:val="none" w:sz="0" w:space="0" w:color="auto"/>
            <w:bottom w:val="single" w:sz="6" w:space="0" w:color="CCCCCC"/>
            <w:right w:val="none" w:sz="0" w:space="0" w:color="auto"/>
          </w:divBdr>
          <w:divsChild>
            <w:div w:id="423889626">
              <w:marLeft w:val="0"/>
              <w:marRight w:val="0"/>
              <w:marTop w:val="0"/>
              <w:marBottom w:val="0"/>
              <w:divBdr>
                <w:top w:val="none" w:sz="0" w:space="0" w:color="auto"/>
                <w:left w:val="none" w:sz="0" w:space="0" w:color="auto"/>
                <w:bottom w:val="none" w:sz="0" w:space="0" w:color="auto"/>
                <w:right w:val="none" w:sz="0" w:space="0" w:color="auto"/>
              </w:divBdr>
            </w:div>
          </w:divsChild>
        </w:div>
        <w:div w:id="1280801095">
          <w:marLeft w:val="0"/>
          <w:marRight w:val="0"/>
          <w:marTop w:val="0"/>
          <w:marBottom w:val="0"/>
          <w:divBdr>
            <w:top w:val="none" w:sz="0" w:space="0" w:color="auto"/>
            <w:left w:val="none" w:sz="0" w:space="0" w:color="auto"/>
            <w:bottom w:val="none" w:sz="0" w:space="0" w:color="auto"/>
            <w:right w:val="none" w:sz="0" w:space="0" w:color="auto"/>
          </w:divBdr>
          <w:divsChild>
            <w:div w:id="55595218">
              <w:marLeft w:val="75"/>
              <w:marRight w:val="150"/>
              <w:marTop w:val="45"/>
              <w:marBottom w:val="75"/>
              <w:divBdr>
                <w:top w:val="none" w:sz="0" w:space="0" w:color="auto"/>
                <w:left w:val="none" w:sz="0" w:space="0" w:color="auto"/>
                <w:bottom w:val="none" w:sz="0" w:space="0" w:color="auto"/>
                <w:right w:val="none" w:sz="0" w:space="0" w:color="auto"/>
              </w:divBdr>
            </w:div>
            <w:div w:id="675615526">
              <w:marLeft w:val="300"/>
              <w:marRight w:val="150"/>
              <w:marTop w:val="75"/>
              <w:marBottom w:val="0"/>
              <w:divBdr>
                <w:top w:val="none" w:sz="0" w:space="0" w:color="auto"/>
                <w:left w:val="none" w:sz="0" w:space="0" w:color="auto"/>
                <w:bottom w:val="none" w:sz="0" w:space="0" w:color="auto"/>
                <w:right w:val="none" w:sz="0" w:space="0" w:color="auto"/>
              </w:divBdr>
            </w:div>
            <w:div w:id="464856932">
              <w:marLeft w:val="300"/>
              <w:marRight w:val="150"/>
              <w:marTop w:val="75"/>
              <w:marBottom w:val="0"/>
              <w:divBdr>
                <w:top w:val="none" w:sz="0" w:space="0" w:color="auto"/>
                <w:left w:val="none" w:sz="0" w:space="0" w:color="auto"/>
                <w:bottom w:val="none" w:sz="0" w:space="0" w:color="auto"/>
                <w:right w:val="none" w:sz="0" w:space="0" w:color="auto"/>
              </w:divBdr>
            </w:div>
          </w:divsChild>
        </w:div>
        <w:div w:id="1201434578">
          <w:marLeft w:val="0"/>
          <w:marRight w:val="0"/>
          <w:marTop w:val="75"/>
          <w:marBottom w:val="150"/>
          <w:divBdr>
            <w:top w:val="none" w:sz="0" w:space="0" w:color="auto"/>
            <w:left w:val="none" w:sz="0" w:space="0" w:color="auto"/>
            <w:bottom w:val="none" w:sz="0" w:space="0" w:color="auto"/>
            <w:right w:val="none" w:sz="0" w:space="0" w:color="auto"/>
          </w:divBdr>
          <w:divsChild>
            <w:div w:id="11286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5343">
      <w:bodyDiv w:val="1"/>
      <w:marLeft w:val="0"/>
      <w:marRight w:val="0"/>
      <w:marTop w:val="0"/>
      <w:marBottom w:val="0"/>
      <w:divBdr>
        <w:top w:val="none" w:sz="0" w:space="0" w:color="auto"/>
        <w:left w:val="none" w:sz="0" w:space="0" w:color="auto"/>
        <w:bottom w:val="none" w:sz="0" w:space="0" w:color="auto"/>
        <w:right w:val="none" w:sz="0" w:space="0" w:color="auto"/>
      </w:divBdr>
      <w:divsChild>
        <w:div w:id="525407382">
          <w:marLeft w:val="0"/>
          <w:marRight w:val="0"/>
          <w:marTop w:val="150"/>
          <w:marBottom w:val="150"/>
          <w:divBdr>
            <w:top w:val="none" w:sz="0" w:space="0" w:color="auto"/>
            <w:left w:val="none" w:sz="0" w:space="0" w:color="auto"/>
            <w:bottom w:val="single" w:sz="6" w:space="0" w:color="CCCCCC"/>
            <w:right w:val="none" w:sz="0" w:space="0" w:color="auto"/>
          </w:divBdr>
          <w:divsChild>
            <w:div w:id="269825909">
              <w:marLeft w:val="0"/>
              <w:marRight w:val="0"/>
              <w:marTop w:val="0"/>
              <w:marBottom w:val="0"/>
              <w:divBdr>
                <w:top w:val="none" w:sz="0" w:space="0" w:color="auto"/>
                <w:left w:val="none" w:sz="0" w:space="0" w:color="auto"/>
                <w:bottom w:val="none" w:sz="0" w:space="0" w:color="auto"/>
                <w:right w:val="none" w:sz="0" w:space="0" w:color="auto"/>
              </w:divBdr>
            </w:div>
          </w:divsChild>
        </w:div>
        <w:div w:id="556479651">
          <w:marLeft w:val="0"/>
          <w:marRight w:val="0"/>
          <w:marTop w:val="0"/>
          <w:marBottom w:val="0"/>
          <w:divBdr>
            <w:top w:val="none" w:sz="0" w:space="0" w:color="auto"/>
            <w:left w:val="none" w:sz="0" w:space="0" w:color="auto"/>
            <w:bottom w:val="none" w:sz="0" w:space="0" w:color="auto"/>
            <w:right w:val="none" w:sz="0" w:space="0" w:color="auto"/>
          </w:divBdr>
          <w:divsChild>
            <w:div w:id="977150179">
              <w:marLeft w:val="75"/>
              <w:marRight w:val="150"/>
              <w:marTop w:val="45"/>
              <w:marBottom w:val="75"/>
              <w:divBdr>
                <w:top w:val="none" w:sz="0" w:space="0" w:color="auto"/>
                <w:left w:val="none" w:sz="0" w:space="0" w:color="auto"/>
                <w:bottom w:val="none" w:sz="0" w:space="0" w:color="auto"/>
                <w:right w:val="none" w:sz="0" w:space="0" w:color="auto"/>
              </w:divBdr>
            </w:div>
            <w:div w:id="1004208888">
              <w:marLeft w:val="300"/>
              <w:marRight w:val="150"/>
              <w:marTop w:val="75"/>
              <w:marBottom w:val="0"/>
              <w:divBdr>
                <w:top w:val="none" w:sz="0" w:space="0" w:color="auto"/>
                <w:left w:val="none" w:sz="0" w:space="0" w:color="auto"/>
                <w:bottom w:val="none" w:sz="0" w:space="0" w:color="auto"/>
                <w:right w:val="none" w:sz="0" w:space="0" w:color="auto"/>
              </w:divBdr>
            </w:div>
            <w:div w:id="1875459824">
              <w:marLeft w:val="300"/>
              <w:marRight w:val="150"/>
              <w:marTop w:val="75"/>
              <w:marBottom w:val="0"/>
              <w:divBdr>
                <w:top w:val="none" w:sz="0" w:space="0" w:color="auto"/>
                <w:left w:val="none" w:sz="0" w:space="0" w:color="auto"/>
                <w:bottom w:val="none" w:sz="0" w:space="0" w:color="auto"/>
                <w:right w:val="none" w:sz="0" w:space="0" w:color="auto"/>
              </w:divBdr>
            </w:div>
          </w:divsChild>
        </w:div>
        <w:div w:id="1851916713">
          <w:marLeft w:val="0"/>
          <w:marRight w:val="0"/>
          <w:marTop w:val="75"/>
          <w:marBottom w:val="150"/>
          <w:divBdr>
            <w:top w:val="none" w:sz="0" w:space="0" w:color="auto"/>
            <w:left w:val="none" w:sz="0" w:space="0" w:color="auto"/>
            <w:bottom w:val="none" w:sz="0" w:space="0" w:color="auto"/>
            <w:right w:val="none" w:sz="0" w:space="0" w:color="auto"/>
          </w:divBdr>
          <w:divsChild>
            <w:div w:id="1115442670">
              <w:marLeft w:val="0"/>
              <w:marRight w:val="0"/>
              <w:marTop w:val="45"/>
              <w:marBottom w:val="0"/>
              <w:divBdr>
                <w:top w:val="none" w:sz="0" w:space="0" w:color="auto"/>
                <w:left w:val="single" w:sz="48" w:space="0" w:color="FFFFFF"/>
                <w:bottom w:val="single" w:sz="48" w:space="0" w:color="FFFFFF"/>
                <w:right w:val="none" w:sz="0" w:space="0" w:color="auto"/>
              </w:divBdr>
              <w:divsChild>
                <w:div w:id="556624555">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132946693">
      <w:bodyDiv w:val="1"/>
      <w:marLeft w:val="0"/>
      <w:marRight w:val="0"/>
      <w:marTop w:val="0"/>
      <w:marBottom w:val="0"/>
      <w:divBdr>
        <w:top w:val="none" w:sz="0" w:space="0" w:color="auto"/>
        <w:left w:val="none" w:sz="0" w:space="0" w:color="auto"/>
        <w:bottom w:val="none" w:sz="0" w:space="0" w:color="auto"/>
        <w:right w:val="none" w:sz="0" w:space="0" w:color="auto"/>
      </w:divBdr>
      <w:divsChild>
        <w:div w:id="1493137948">
          <w:marLeft w:val="0"/>
          <w:marRight w:val="0"/>
          <w:marTop w:val="150"/>
          <w:marBottom w:val="150"/>
          <w:divBdr>
            <w:top w:val="none" w:sz="0" w:space="0" w:color="auto"/>
            <w:left w:val="none" w:sz="0" w:space="0" w:color="auto"/>
            <w:bottom w:val="single" w:sz="6" w:space="0" w:color="CCCCCC"/>
            <w:right w:val="none" w:sz="0" w:space="0" w:color="auto"/>
          </w:divBdr>
          <w:divsChild>
            <w:div w:id="1020397277">
              <w:marLeft w:val="0"/>
              <w:marRight w:val="0"/>
              <w:marTop w:val="0"/>
              <w:marBottom w:val="0"/>
              <w:divBdr>
                <w:top w:val="none" w:sz="0" w:space="0" w:color="auto"/>
                <w:left w:val="none" w:sz="0" w:space="0" w:color="auto"/>
                <w:bottom w:val="none" w:sz="0" w:space="0" w:color="auto"/>
                <w:right w:val="none" w:sz="0" w:space="0" w:color="auto"/>
              </w:divBdr>
            </w:div>
          </w:divsChild>
        </w:div>
        <w:div w:id="393235827">
          <w:marLeft w:val="0"/>
          <w:marRight w:val="0"/>
          <w:marTop w:val="0"/>
          <w:marBottom w:val="0"/>
          <w:divBdr>
            <w:top w:val="none" w:sz="0" w:space="0" w:color="auto"/>
            <w:left w:val="none" w:sz="0" w:space="0" w:color="auto"/>
            <w:bottom w:val="none" w:sz="0" w:space="0" w:color="auto"/>
            <w:right w:val="none" w:sz="0" w:space="0" w:color="auto"/>
          </w:divBdr>
          <w:divsChild>
            <w:div w:id="725301303">
              <w:marLeft w:val="75"/>
              <w:marRight w:val="150"/>
              <w:marTop w:val="45"/>
              <w:marBottom w:val="75"/>
              <w:divBdr>
                <w:top w:val="none" w:sz="0" w:space="0" w:color="auto"/>
                <w:left w:val="none" w:sz="0" w:space="0" w:color="auto"/>
                <w:bottom w:val="none" w:sz="0" w:space="0" w:color="auto"/>
                <w:right w:val="none" w:sz="0" w:space="0" w:color="auto"/>
              </w:divBdr>
            </w:div>
            <w:div w:id="604463155">
              <w:marLeft w:val="300"/>
              <w:marRight w:val="150"/>
              <w:marTop w:val="75"/>
              <w:marBottom w:val="0"/>
              <w:divBdr>
                <w:top w:val="none" w:sz="0" w:space="0" w:color="auto"/>
                <w:left w:val="none" w:sz="0" w:space="0" w:color="auto"/>
                <w:bottom w:val="none" w:sz="0" w:space="0" w:color="auto"/>
                <w:right w:val="none" w:sz="0" w:space="0" w:color="auto"/>
              </w:divBdr>
            </w:div>
            <w:div w:id="806052781">
              <w:marLeft w:val="300"/>
              <w:marRight w:val="150"/>
              <w:marTop w:val="75"/>
              <w:marBottom w:val="0"/>
              <w:divBdr>
                <w:top w:val="none" w:sz="0" w:space="0" w:color="auto"/>
                <w:left w:val="none" w:sz="0" w:space="0" w:color="auto"/>
                <w:bottom w:val="none" w:sz="0" w:space="0" w:color="auto"/>
                <w:right w:val="none" w:sz="0" w:space="0" w:color="auto"/>
              </w:divBdr>
            </w:div>
          </w:divsChild>
        </w:div>
        <w:div w:id="939213934">
          <w:marLeft w:val="0"/>
          <w:marRight w:val="0"/>
          <w:marTop w:val="75"/>
          <w:marBottom w:val="150"/>
          <w:divBdr>
            <w:top w:val="none" w:sz="0" w:space="0" w:color="auto"/>
            <w:left w:val="none" w:sz="0" w:space="0" w:color="auto"/>
            <w:bottom w:val="none" w:sz="0" w:space="0" w:color="auto"/>
            <w:right w:val="none" w:sz="0" w:space="0" w:color="auto"/>
          </w:divBdr>
        </w:div>
      </w:divsChild>
    </w:div>
    <w:div w:id="1179346802">
      <w:bodyDiv w:val="1"/>
      <w:marLeft w:val="0"/>
      <w:marRight w:val="0"/>
      <w:marTop w:val="0"/>
      <w:marBottom w:val="0"/>
      <w:divBdr>
        <w:top w:val="none" w:sz="0" w:space="0" w:color="auto"/>
        <w:left w:val="none" w:sz="0" w:space="0" w:color="auto"/>
        <w:bottom w:val="none" w:sz="0" w:space="0" w:color="auto"/>
        <w:right w:val="none" w:sz="0" w:space="0" w:color="auto"/>
      </w:divBdr>
      <w:divsChild>
        <w:div w:id="2010404177">
          <w:marLeft w:val="0"/>
          <w:marRight w:val="0"/>
          <w:marTop w:val="150"/>
          <w:marBottom w:val="150"/>
          <w:divBdr>
            <w:top w:val="none" w:sz="0" w:space="0" w:color="auto"/>
            <w:left w:val="none" w:sz="0" w:space="0" w:color="auto"/>
            <w:bottom w:val="single" w:sz="6" w:space="0" w:color="CCCCCC"/>
            <w:right w:val="none" w:sz="0" w:space="0" w:color="auto"/>
          </w:divBdr>
          <w:divsChild>
            <w:div w:id="1076627336">
              <w:marLeft w:val="0"/>
              <w:marRight w:val="0"/>
              <w:marTop w:val="0"/>
              <w:marBottom w:val="0"/>
              <w:divBdr>
                <w:top w:val="none" w:sz="0" w:space="0" w:color="auto"/>
                <w:left w:val="none" w:sz="0" w:space="0" w:color="auto"/>
                <w:bottom w:val="none" w:sz="0" w:space="0" w:color="auto"/>
                <w:right w:val="none" w:sz="0" w:space="0" w:color="auto"/>
              </w:divBdr>
            </w:div>
          </w:divsChild>
        </w:div>
        <w:div w:id="415060181">
          <w:marLeft w:val="0"/>
          <w:marRight w:val="0"/>
          <w:marTop w:val="75"/>
          <w:marBottom w:val="150"/>
          <w:divBdr>
            <w:top w:val="none" w:sz="0" w:space="0" w:color="auto"/>
            <w:left w:val="none" w:sz="0" w:space="0" w:color="auto"/>
            <w:bottom w:val="none" w:sz="0" w:space="0" w:color="auto"/>
            <w:right w:val="none" w:sz="0" w:space="0" w:color="auto"/>
          </w:divBdr>
        </w:div>
      </w:divsChild>
    </w:div>
    <w:div w:id="1228806520">
      <w:bodyDiv w:val="1"/>
      <w:marLeft w:val="0"/>
      <w:marRight w:val="0"/>
      <w:marTop w:val="0"/>
      <w:marBottom w:val="0"/>
      <w:divBdr>
        <w:top w:val="none" w:sz="0" w:space="0" w:color="auto"/>
        <w:left w:val="none" w:sz="0" w:space="0" w:color="auto"/>
        <w:bottom w:val="none" w:sz="0" w:space="0" w:color="auto"/>
        <w:right w:val="none" w:sz="0" w:space="0" w:color="auto"/>
      </w:divBdr>
      <w:divsChild>
        <w:div w:id="1547837698">
          <w:marLeft w:val="0"/>
          <w:marRight w:val="0"/>
          <w:marTop w:val="150"/>
          <w:marBottom w:val="150"/>
          <w:divBdr>
            <w:top w:val="none" w:sz="0" w:space="0" w:color="auto"/>
            <w:left w:val="none" w:sz="0" w:space="0" w:color="auto"/>
            <w:bottom w:val="single" w:sz="6" w:space="0" w:color="CCCCCC"/>
            <w:right w:val="none" w:sz="0" w:space="0" w:color="auto"/>
          </w:divBdr>
          <w:divsChild>
            <w:div w:id="723409692">
              <w:marLeft w:val="0"/>
              <w:marRight w:val="0"/>
              <w:marTop w:val="0"/>
              <w:marBottom w:val="0"/>
              <w:divBdr>
                <w:top w:val="none" w:sz="0" w:space="0" w:color="auto"/>
                <w:left w:val="none" w:sz="0" w:space="0" w:color="auto"/>
                <w:bottom w:val="none" w:sz="0" w:space="0" w:color="auto"/>
                <w:right w:val="none" w:sz="0" w:space="0" w:color="auto"/>
              </w:divBdr>
            </w:div>
          </w:divsChild>
        </w:div>
        <w:div w:id="2047368665">
          <w:marLeft w:val="0"/>
          <w:marRight w:val="0"/>
          <w:marTop w:val="0"/>
          <w:marBottom w:val="0"/>
          <w:divBdr>
            <w:top w:val="none" w:sz="0" w:space="0" w:color="auto"/>
            <w:left w:val="none" w:sz="0" w:space="0" w:color="auto"/>
            <w:bottom w:val="none" w:sz="0" w:space="0" w:color="auto"/>
            <w:right w:val="none" w:sz="0" w:space="0" w:color="auto"/>
          </w:divBdr>
          <w:divsChild>
            <w:div w:id="1304777449">
              <w:marLeft w:val="75"/>
              <w:marRight w:val="150"/>
              <w:marTop w:val="45"/>
              <w:marBottom w:val="75"/>
              <w:divBdr>
                <w:top w:val="none" w:sz="0" w:space="0" w:color="auto"/>
                <w:left w:val="none" w:sz="0" w:space="0" w:color="auto"/>
                <w:bottom w:val="none" w:sz="0" w:space="0" w:color="auto"/>
                <w:right w:val="none" w:sz="0" w:space="0" w:color="auto"/>
              </w:divBdr>
            </w:div>
            <w:div w:id="1753775095">
              <w:marLeft w:val="300"/>
              <w:marRight w:val="150"/>
              <w:marTop w:val="75"/>
              <w:marBottom w:val="0"/>
              <w:divBdr>
                <w:top w:val="none" w:sz="0" w:space="0" w:color="auto"/>
                <w:left w:val="none" w:sz="0" w:space="0" w:color="auto"/>
                <w:bottom w:val="none" w:sz="0" w:space="0" w:color="auto"/>
                <w:right w:val="none" w:sz="0" w:space="0" w:color="auto"/>
              </w:divBdr>
            </w:div>
            <w:div w:id="1618486971">
              <w:marLeft w:val="300"/>
              <w:marRight w:val="150"/>
              <w:marTop w:val="75"/>
              <w:marBottom w:val="0"/>
              <w:divBdr>
                <w:top w:val="none" w:sz="0" w:space="0" w:color="auto"/>
                <w:left w:val="none" w:sz="0" w:space="0" w:color="auto"/>
                <w:bottom w:val="none" w:sz="0" w:space="0" w:color="auto"/>
                <w:right w:val="none" w:sz="0" w:space="0" w:color="auto"/>
              </w:divBdr>
            </w:div>
          </w:divsChild>
        </w:div>
        <w:div w:id="1655721332">
          <w:marLeft w:val="0"/>
          <w:marRight w:val="0"/>
          <w:marTop w:val="75"/>
          <w:marBottom w:val="150"/>
          <w:divBdr>
            <w:top w:val="none" w:sz="0" w:space="0" w:color="auto"/>
            <w:left w:val="none" w:sz="0" w:space="0" w:color="auto"/>
            <w:bottom w:val="none" w:sz="0" w:space="0" w:color="auto"/>
            <w:right w:val="none" w:sz="0" w:space="0" w:color="auto"/>
          </w:divBdr>
        </w:div>
        <w:div w:id="2104565749">
          <w:marLeft w:val="0"/>
          <w:marRight w:val="0"/>
          <w:marTop w:val="0"/>
          <w:marBottom w:val="0"/>
          <w:divBdr>
            <w:top w:val="none" w:sz="0" w:space="0" w:color="auto"/>
            <w:left w:val="none" w:sz="0" w:space="0" w:color="auto"/>
            <w:bottom w:val="none" w:sz="0" w:space="0" w:color="auto"/>
            <w:right w:val="none" w:sz="0" w:space="0" w:color="auto"/>
          </w:divBdr>
          <w:divsChild>
            <w:div w:id="2144420238">
              <w:marLeft w:val="75"/>
              <w:marRight w:val="150"/>
              <w:marTop w:val="45"/>
              <w:marBottom w:val="75"/>
              <w:divBdr>
                <w:top w:val="none" w:sz="0" w:space="0" w:color="auto"/>
                <w:left w:val="none" w:sz="0" w:space="0" w:color="auto"/>
                <w:bottom w:val="none" w:sz="0" w:space="0" w:color="auto"/>
                <w:right w:val="none" w:sz="0" w:space="0" w:color="auto"/>
              </w:divBdr>
            </w:div>
            <w:div w:id="13115726">
              <w:marLeft w:val="300"/>
              <w:marRight w:val="150"/>
              <w:marTop w:val="75"/>
              <w:marBottom w:val="0"/>
              <w:divBdr>
                <w:top w:val="none" w:sz="0" w:space="0" w:color="auto"/>
                <w:left w:val="none" w:sz="0" w:space="0" w:color="auto"/>
                <w:bottom w:val="none" w:sz="0" w:space="0" w:color="auto"/>
                <w:right w:val="none" w:sz="0" w:space="0" w:color="auto"/>
              </w:divBdr>
            </w:div>
            <w:div w:id="753942389">
              <w:marLeft w:val="300"/>
              <w:marRight w:val="150"/>
              <w:marTop w:val="75"/>
              <w:marBottom w:val="0"/>
              <w:divBdr>
                <w:top w:val="none" w:sz="0" w:space="0" w:color="auto"/>
                <w:left w:val="none" w:sz="0" w:space="0" w:color="auto"/>
                <w:bottom w:val="none" w:sz="0" w:space="0" w:color="auto"/>
                <w:right w:val="none" w:sz="0" w:space="0" w:color="auto"/>
              </w:divBdr>
            </w:div>
          </w:divsChild>
        </w:div>
        <w:div w:id="2125148629">
          <w:marLeft w:val="0"/>
          <w:marRight w:val="0"/>
          <w:marTop w:val="150"/>
          <w:marBottom w:val="0"/>
          <w:divBdr>
            <w:top w:val="none" w:sz="0" w:space="0" w:color="auto"/>
            <w:left w:val="none" w:sz="0" w:space="0" w:color="auto"/>
            <w:bottom w:val="none" w:sz="0" w:space="0" w:color="auto"/>
            <w:right w:val="none" w:sz="0" w:space="0" w:color="auto"/>
          </w:divBdr>
          <w:divsChild>
            <w:div w:id="29178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sindacato/documenti/scuola/parere-cspi-su-sperimentazioni-quadriennali-del-18-gennaio-2018.flc" TargetMode="External"/><Relationship Id="rId3" Type="http://schemas.openxmlformats.org/officeDocument/2006/relationships/settings" Target="settings.xml"/><Relationship Id="rId7" Type="http://schemas.openxmlformats.org/officeDocument/2006/relationships/hyperlink" Target="https://www.flcgil.it/sindacato/documenti/scuola/parere-cspi-su-sperimentazione-percorsi-quadriennali-di-istruzione-secondaria-di-secondo-grado-del-10-maggio-2017.fl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cgil.it/comunicati-stampa/flc/rapporto-ocse-education-at-a-glance-flc-cgil-serve-aumentare-la-spesa-e-innalzare-i-livelli-di-istruzione-secondaria-il-contrario-delle-riforme-valditara.flc" TargetMode="External"/><Relationship Id="rId11" Type="http://schemas.openxmlformats.org/officeDocument/2006/relationships/fontTable" Target="fontTable.xml"/><Relationship Id="rId5" Type="http://schemas.openxmlformats.org/officeDocument/2006/relationships/hyperlink" Target="https://www.oecd.org/en/publications/education-at-a-glance-2024_c00cad36-en.html" TargetMode="External"/><Relationship Id="rId10" Type="http://schemas.openxmlformats.org/officeDocument/2006/relationships/hyperlink" Target="https://flcgil.it/sindacato/documenti/scuola/parere-cspi-del-17-novembre-2021-piano-nazionale-innovazione-ordinamentale-per-ampliamento-e-adeguamento-sperimentazione-percorsi-quadriennali.flc" TargetMode="External"/><Relationship Id="rId4" Type="http://schemas.openxmlformats.org/officeDocument/2006/relationships/webSettings" Target="webSettings.xml"/><Relationship Id="rId9" Type="http://schemas.openxmlformats.org/officeDocument/2006/relationships/hyperlink" Target="https://flcgil.it/sindacato/documenti/scuola/parere-cspi-del-17-novembre-2021-piano-nazionale-innovazione-ordinamentale-per-ampliamento-e-adeguamento-sperimentazione-percorsi-quadriennali.fl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4333</Words>
  <Characters>24702</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3</cp:revision>
  <dcterms:created xsi:type="dcterms:W3CDTF">2024-09-21T06:43:00Z</dcterms:created>
  <dcterms:modified xsi:type="dcterms:W3CDTF">2024-09-21T08:17:00Z</dcterms:modified>
</cp:coreProperties>
</file>