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8D53" w14:textId="408154B8" w:rsidR="006A0EA1" w:rsidRPr="001B0205" w:rsidRDefault="006A0EA1" w:rsidP="001B0205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B0205">
        <w:rPr>
          <w:rFonts w:asciiTheme="minorHAnsi" w:hAnsiTheme="minorHAnsi" w:cstheme="minorHAnsi"/>
          <w:b/>
          <w:bCs/>
          <w:sz w:val="28"/>
          <w:szCs w:val="28"/>
        </w:rPr>
        <w:t xml:space="preserve">Mozione del </w:t>
      </w:r>
      <w:r w:rsidR="00710B1F" w:rsidRPr="001B0205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1B0205">
        <w:rPr>
          <w:rFonts w:asciiTheme="minorHAnsi" w:hAnsiTheme="minorHAnsi" w:cstheme="minorHAnsi"/>
          <w:b/>
          <w:bCs/>
          <w:sz w:val="28"/>
          <w:szCs w:val="28"/>
        </w:rPr>
        <w:t xml:space="preserve">ollegio docenti </w:t>
      </w:r>
      <w:bookmarkStart w:id="0" w:name="_Hlk153538045"/>
      <w:r w:rsidRPr="001B0205">
        <w:rPr>
          <w:rFonts w:asciiTheme="minorHAnsi" w:hAnsiTheme="minorHAnsi" w:cstheme="minorHAnsi"/>
          <w:b/>
          <w:bCs/>
          <w:sz w:val="28"/>
          <w:szCs w:val="28"/>
        </w:rPr>
        <w:t>del</w:t>
      </w:r>
      <w:r w:rsidR="005D433E" w:rsidRPr="001B0205">
        <w:rPr>
          <w:rFonts w:asciiTheme="minorHAnsi" w:hAnsiTheme="minorHAnsi" w:cstheme="minorHAnsi"/>
          <w:b/>
          <w:bCs/>
          <w:sz w:val="28"/>
          <w:szCs w:val="28"/>
        </w:rPr>
        <w:t>l’Istituto</w:t>
      </w:r>
      <w:r w:rsidR="00E91988" w:rsidRPr="001B0205">
        <w:rPr>
          <w:rFonts w:asciiTheme="minorHAnsi" w:hAnsiTheme="minorHAnsi" w:cstheme="minorHAnsi"/>
          <w:b/>
          <w:bCs/>
          <w:sz w:val="28"/>
          <w:szCs w:val="28"/>
        </w:rPr>
        <w:t xml:space="preserve"> ………………</w:t>
      </w:r>
      <w:bookmarkEnd w:id="0"/>
      <w:r w:rsidR="001B0205" w:rsidRPr="001B0205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………………………………………………………………………………………………………………</w:t>
      </w:r>
      <w:r w:rsidR="005D433E" w:rsidRPr="001B0205">
        <w:rPr>
          <w:rFonts w:asciiTheme="minorHAnsi" w:hAnsiTheme="minorHAnsi" w:cstheme="minorHAnsi"/>
          <w:b/>
          <w:bCs/>
          <w:sz w:val="28"/>
          <w:szCs w:val="28"/>
        </w:rPr>
        <w:t xml:space="preserve">concernente </w:t>
      </w:r>
      <w:bookmarkStart w:id="1" w:name="_Hlk176179930"/>
      <w:r w:rsidR="005D433E" w:rsidRPr="001B0205">
        <w:rPr>
          <w:rFonts w:asciiTheme="minorHAnsi" w:hAnsiTheme="minorHAnsi" w:cstheme="minorHAnsi"/>
          <w:b/>
          <w:bCs/>
          <w:sz w:val="28"/>
          <w:szCs w:val="28"/>
        </w:rPr>
        <w:t xml:space="preserve">la sperimentazione </w:t>
      </w:r>
      <w:r w:rsidR="002D7958" w:rsidRPr="001B0205">
        <w:rPr>
          <w:rFonts w:asciiTheme="minorHAnsi" w:hAnsiTheme="minorHAnsi" w:cstheme="minorHAnsi"/>
          <w:b/>
          <w:bCs/>
          <w:sz w:val="28"/>
          <w:szCs w:val="28"/>
        </w:rPr>
        <w:t xml:space="preserve">quadriennale </w:t>
      </w:r>
      <w:bookmarkEnd w:id="1"/>
      <w:r w:rsidR="002D7958" w:rsidRPr="001B0205">
        <w:rPr>
          <w:rFonts w:asciiTheme="minorHAnsi" w:hAnsiTheme="minorHAnsi" w:cstheme="minorHAnsi"/>
          <w:b/>
          <w:bCs/>
          <w:sz w:val="28"/>
          <w:szCs w:val="28"/>
        </w:rPr>
        <w:t>per l’</w:t>
      </w:r>
      <w:r w:rsidR="005D433E" w:rsidRPr="001B0205">
        <w:rPr>
          <w:rFonts w:asciiTheme="minorHAnsi" w:hAnsiTheme="minorHAnsi" w:cstheme="minorHAnsi"/>
          <w:b/>
          <w:bCs/>
          <w:sz w:val="28"/>
          <w:szCs w:val="28"/>
        </w:rPr>
        <w:t>istituzione della filiera formativa tecnologico-professionale</w:t>
      </w:r>
    </w:p>
    <w:p w14:paraId="5340126C" w14:textId="77777777" w:rsidR="0019714D" w:rsidRPr="001B0205" w:rsidRDefault="0019714D" w:rsidP="006A0EA1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2BB815F" w14:textId="3C9BF1F5" w:rsidR="0019714D" w:rsidRPr="001B0205" w:rsidRDefault="0019714D" w:rsidP="0019714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2" w:name="_Hlk153537035"/>
      <w:r w:rsidRPr="001B0205">
        <w:rPr>
          <w:rFonts w:asciiTheme="minorHAnsi" w:hAnsiTheme="minorHAnsi" w:cstheme="minorHAnsi"/>
          <w:sz w:val="28"/>
          <w:szCs w:val="28"/>
        </w:rPr>
        <w:t xml:space="preserve">Il Collegio docenti </w:t>
      </w:r>
      <w:bookmarkEnd w:id="2"/>
      <w:r w:rsidRPr="001B0205">
        <w:rPr>
          <w:rFonts w:asciiTheme="minorHAnsi" w:hAnsiTheme="minorHAnsi" w:cstheme="minorHAnsi"/>
          <w:sz w:val="28"/>
          <w:szCs w:val="28"/>
        </w:rPr>
        <w:t>dell’Istituto…………………</w:t>
      </w:r>
      <w:proofErr w:type="gramStart"/>
      <w:r w:rsidR="00710B1F" w:rsidRPr="001B0205">
        <w:rPr>
          <w:rFonts w:asciiTheme="minorHAnsi" w:hAnsiTheme="minorHAnsi" w:cstheme="minorHAnsi"/>
          <w:sz w:val="28"/>
          <w:szCs w:val="28"/>
        </w:rPr>
        <w:t>……</w:t>
      </w:r>
      <w:r w:rsidR="001B0205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1B0205">
        <w:rPr>
          <w:rFonts w:asciiTheme="minorHAnsi" w:hAnsiTheme="minorHAnsi" w:cstheme="minorHAnsi"/>
          <w:sz w:val="28"/>
          <w:szCs w:val="28"/>
        </w:rPr>
        <w:t>, convocato in data …………, in relazione al punto all’</w:t>
      </w:r>
      <w:proofErr w:type="spellStart"/>
      <w:r w:rsidRPr="001B0205">
        <w:rPr>
          <w:rFonts w:asciiTheme="minorHAnsi" w:hAnsiTheme="minorHAnsi" w:cstheme="minorHAnsi"/>
          <w:sz w:val="28"/>
          <w:szCs w:val="28"/>
        </w:rPr>
        <w:t>OdG</w:t>
      </w:r>
      <w:proofErr w:type="spellEnd"/>
      <w:r w:rsidRPr="001B0205">
        <w:rPr>
          <w:rFonts w:asciiTheme="minorHAnsi" w:hAnsiTheme="minorHAnsi" w:cstheme="minorHAnsi"/>
          <w:sz w:val="28"/>
          <w:szCs w:val="28"/>
        </w:rPr>
        <w:t xml:space="preserve"> </w:t>
      </w:r>
      <w:r w:rsidR="00B22E3D" w:rsidRPr="001B0205">
        <w:rPr>
          <w:rFonts w:asciiTheme="minorHAnsi" w:hAnsiTheme="minorHAnsi" w:cstheme="minorHAnsi"/>
          <w:sz w:val="28"/>
          <w:szCs w:val="28"/>
        </w:rPr>
        <w:t>di cui</w:t>
      </w:r>
      <w:r w:rsidRPr="001B0205">
        <w:rPr>
          <w:rFonts w:asciiTheme="minorHAnsi" w:hAnsiTheme="minorHAnsi" w:cstheme="minorHAnsi"/>
          <w:sz w:val="28"/>
          <w:szCs w:val="28"/>
        </w:rPr>
        <w:t xml:space="preserve"> all’oggetto, presenta la mozione sotto riportata.</w:t>
      </w:r>
    </w:p>
    <w:p w14:paraId="1B209B94" w14:textId="74F7160F" w:rsidR="0019714D" w:rsidRPr="001B0205" w:rsidRDefault="00DC6E55" w:rsidP="00DC6E5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1B0205">
        <w:rPr>
          <w:rFonts w:asciiTheme="minorHAnsi" w:hAnsiTheme="minorHAnsi" w:cstheme="minorHAnsi"/>
          <w:sz w:val="28"/>
          <w:szCs w:val="28"/>
        </w:rPr>
        <w:t>***********************</w:t>
      </w:r>
    </w:p>
    <w:p w14:paraId="642745AA" w14:textId="61DF5471" w:rsidR="005B0831" w:rsidRPr="001B0205" w:rsidRDefault="005B0831" w:rsidP="0019714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hAnsiTheme="minorHAnsi" w:cstheme="minorHAnsi"/>
          <w:sz w:val="28"/>
          <w:szCs w:val="28"/>
        </w:rPr>
        <w:t xml:space="preserve">Vista la </w:t>
      </w:r>
      <w:bookmarkStart w:id="3" w:name="_Hlk176180013"/>
      <w:bookmarkStart w:id="4" w:name="_Hlk176180388"/>
      <w:r w:rsidRPr="001B0205">
        <w:rPr>
          <w:rFonts w:asciiTheme="minorHAnsi" w:hAnsiTheme="minorHAnsi" w:cstheme="minorHAnsi"/>
          <w:sz w:val="28"/>
          <w:szCs w:val="28"/>
        </w:rPr>
        <w:t xml:space="preserve">Legge 121 dell'8 agosto 2024 </w:t>
      </w:r>
      <w:bookmarkEnd w:id="3"/>
      <w:r w:rsidRPr="001B0205">
        <w:rPr>
          <w:rFonts w:asciiTheme="minorHAnsi" w:hAnsiTheme="minorHAnsi" w:cstheme="minorHAnsi"/>
          <w:sz w:val="28"/>
          <w:szCs w:val="28"/>
        </w:rPr>
        <w:t>- Istituzione della filiera formativa tecnologico-professionale</w:t>
      </w:r>
      <w:bookmarkEnd w:id="4"/>
      <w:r w:rsidRPr="001B0205">
        <w:rPr>
          <w:rFonts w:asciiTheme="minorHAnsi" w:hAnsiTheme="minorHAnsi" w:cstheme="minorHAnsi"/>
          <w:sz w:val="28"/>
          <w:szCs w:val="28"/>
        </w:rPr>
        <w:t>;</w:t>
      </w:r>
    </w:p>
    <w:p w14:paraId="3C60C4D1" w14:textId="7A3778D3" w:rsidR="0019714D" w:rsidRPr="001B0205" w:rsidRDefault="00192FB8" w:rsidP="0019714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hAnsiTheme="minorHAnsi" w:cstheme="minorHAnsi"/>
          <w:sz w:val="28"/>
          <w:szCs w:val="28"/>
        </w:rPr>
        <w:t>v</w:t>
      </w:r>
      <w:r w:rsidR="0019714D" w:rsidRPr="001B0205">
        <w:rPr>
          <w:rFonts w:asciiTheme="minorHAnsi" w:hAnsiTheme="minorHAnsi" w:cstheme="minorHAnsi"/>
          <w:sz w:val="28"/>
          <w:szCs w:val="28"/>
        </w:rPr>
        <w:t xml:space="preserve">isto il </w:t>
      </w:r>
      <w:bookmarkStart w:id="5" w:name="_Hlk176184547"/>
      <w:r w:rsidR="0019714D" w:rsidRPr="001B0205">
        <w:rPr>
          <w:rFonts w:asciiTheme="minorHAnsi" w:hAnsiTheme="minorHAnsi" w:cstheme="minorHAnsi"/>
          <w:sz w:val="28"/>
          <w:szCs w:val="28"/>
        </w:rPr>
        <w:t>D.M. 240/2023</w:t>
      </w:r>
      <w:bookmarkEnd w:id="5"/>
      <w:r w:rsidR="00B71065" w:rsidRPr="001B0205">
        <w:rPr>
          <w:rFonts w:asciiTheme="minorHAnsi" w:hAnsiTheme="minorHAnsi" w:cstheme="minorHAnsi"/>
          <w:sz w:val="28"/>
          <w:szCs w:val="28"/>
        </w:rPr>
        <w:t xml:space="preserve"> relativo alla sperimentazione della filiera quadriennale</w:t>
      </w:r>
      <w:r w:rsidR="0019714D" w:rsidRPr="001B0205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1A9C7287" w14:textId="15F61F40" w:rsidR="0019714D" w:rsidRPr="001B0205" w:rsidRDefault="0019714D" w:rsidP="0019714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hAnsiTheme="minorHAnsi" w:cstheme="minorHAnsi"/>
          <w:sz w:val="28"/>
          <w:szCs w:val="28"/>
        </w:rPr>
        <w:t>visto il parere del Consiglio Superiore della Pubblica Istruzione</w:t>
      </w:r>
      <w:r w:rsidR="00710B1F" w:rsidRPr="001B0205">
        <w:rPr>
          <w:rFonts w:asciiTheme="minorHAnsi" w:hAnsiTheme="minorHAnsi" w:cstheme="minorHAnsi"/>
          <w:sz w:val="28"/>
          <w:szCs w:val="28"/>
        </w:rPr>
        <w:t xml:space="preserve"> (CSPI)</w:t>
      </w:r>
      <w:r w:rsidR="005B0831" w:rsidRPr="001B0205">
        <w:rPr>
          <w:rFonts w:asciiTheme="minorHAnsi" w:hAnsiTheme="minorHAnsi" w:cstheme="minorHAnsi"/>
          <w:sz w:val="28"/>
          <w:szCs w:val="28"/>
        </w:rPr>
        <w:t xml:space="preserve"> </w:t>
      </w:r>
      <w:r w:rsidR="00710B1F" w:rsidRPr="001B0205">
        <w:rPr>
          <w:rFonts w:asciiTheme="minorHAnsi" w:hAnsiTheme="minorHAnsi" w:cstheme="minorHAnsi"/>
          <w:sz w:val="28"/>
          <w:szCs w:val="28"/>
        </w:rPr>
        <w:t>approvato nella seduta plenaria n. 117 del 07/12/2023</w:t>
      </w:r>
      <w:r w:rsidRPr="001B0205">
        <w:rPr>
          <w:rFonts w:asciiTheme="minorHAnsi" w:hAnsiTheme="minorHAnsi" w:cstheme="minorHAnsi"/>
          <w:sz w:val="28"/>
          <w:szCs w:val="28"/>
        </w:rPr>
        <w:t>;</w:t>
      </w:r>
    </w:p>
    <w:p w14:paraId="0623FC07" w14:textId="6EAF2BB6" w:rsidR="0019714D" w:rsidRPr="001B0205" w:rsidRDefault="0019714D" w:rsidP="0019714D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hAnsiTheme="minorHAnsi" w:cstheme="minorHAnsi"/>
          <w:sz w:val="28"/>
          <w:szCs w:val="28"/>
        </w:rPr>
        <w:t>il Collegio docenti dichiara in premessa che</w:t>
      </w:r>
    </w:p>
    <w:p w14:paraId="433C72E4" w14:textId="2B3A402F" w:rsidR="00D56957" w:rsidRPr="001B0205" w:rsidRDefault="0019714D" w:rsidP="00B7629A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hAnsiTheme="minorHAnsi" w:cstheme="minorHAnsi"/>
          <w:sz w:val="28"/>
          <w:szCs w:val="28"/>
        </w:rPr>
        <w:t>c</w:t>
      </w:r>
      <w:r w:rsidR="006A0EA1" w:rsidRPr="001B0205">
        <w:rPr>
          <w:rFonts w:asciiTheme="minorHAnsi" w:hAnsiTheme="minorHAnsi" w:cstheme="minorHAnsi"/>
          <w:sz w:val="28"/>
          <w:szCs w:val="28"/>
        </w:rPr>
        <w:t xml:space="preserve">ome </w:t>
      </w:r>
      <w:r w:rsidR="00B7629A" w:rsidRPr="001B0205">
        <w:rPr>
          <w:rFonts w:asciiTheme="minorHAnsi" w:hAnsiTheme="minorHAnsi" w:cstheme="minorHAnsi"/>
          <w:sz w:val="28"/>
          <w:szCs w:val="28"/>
        </w:rPr>
        <w:t>previsto dalla Legge 121 dell'8 agosto 2024</w:t>
      </w:r>
      <w:r w:rsidR="006A0EA1" w:rsidRPr="001B0205">
        <w:rPr>
          <w:rFonts w:asciiTheme="minorHAnsi" w:hAnsiTheme="minorHAnsi" w:cstheme="minorHAnsi"/>
          <w:sz w:val="28"/>
          <w:szCs w:val="28"/>
        </w:rPr>
        <w:t xml:space="preserve">, </w:t>
      </w:r>
      <w:r w:rsidR="00651054" w:rsidRPr="001B0205">
        <w:rPr>
          <w:rFonts w:asciiTheme="minorHAnsi" w:hAnsiTheme="minorHAnsi" w:cstheme="minorHAnsi"/>
          <w:sz w:val="28"/>
          <w:szCs w:val="28"/>
        </w:rPr>
        <w:t>“</w:t>
      </w:r>
      <w:r w:rsidR="00B7629A" w:rsidRPr="001B0205">
        <w:rPr>
          <w:rFonts w:asciiTheme="minorHAnsi" w:hAnsiTheme="minorHAnsi" w:cstheme="minorHAnsi"/>
          <w:sz w:val="28"/>
          <w:szCs w:val="28"/>
        </w:rPr>
        <w:t>sono attivati percorsi quadriennali sperimentali di istruzione secondaria di secondo grado, ai sensi dell'articolo 11 del regolamento di cui al decreto del</w:t>
      </w:r>
      <w:r w:rsidR="00651054" w:rsidRPr="001B0205">
        <w:rPr>
          <w:rFonts w:asciiTheme="minorHAnsi" w:hAnsiTheme="minorHAnsi" w:cstheme="minorHAnsi"/>
          <w:sz w:val="28"/>
          <w:szCs w:val="28"/>
        </w:rPr>
        <w:t xml:space="preserve"> </w:t>
      </w:r>
      <w:r w:rsidR="00B7629A" w:rsidRPr="001B0205">
        <w:rPr>
          <w:rFonts w:asciiTheme="minorHAnsi" w:hAnsiTheme="minorHAnsi" w:cstheme="minorHAnsi"/>
          <w:sz w:val="28"/>
          <w:szCs w:val="28"/>
        </w:rPr>
        <w:t>Presidente della Repubblica 8 marzo 1999, n. 275</w:t>
      </w:r>
      <w:r w:rsidR="00651054" w:rsidRPr="001B0205">
        <w:rPr>
          <w:rFonts w:asciiTheme="minorHAnsi" w:hAnsiTheme="minorHAnsi" w:cstheme="minorHAnsi"/>
          <w:sz w:val="28"/>
          <w:szCs w:val="28"/>
        </w:rPr>
        <w:t>”</w:t>
      </w:r>
      <w:r w:rsidR="00CD0AC8" w:rsidRPr="001B0205">
        <w:rPr>
          <w:rFonts w:asciiTheme="minorHAnsi" w:hAnsiTheme="minorHAnsi" w:cstheme="minorHAnsi"/>
          <w:sz w:val="28"/>
          <w:szCs w:val="28"/>
        </w:rPr>
        <w:t>.</w:t>
      </w:r>
      <w:r w:rsidR="00CD0AC8" w:rsidRPr="001B020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BB3D73D" w14:textId="77777777" w:rsidR="0019714D" w:rsidRPr="001B0205" w:rsidRDefault="0019714D" w:rsidP="0019714D">
      <w:pPr>
        <w:pStyle w:val="Paragrafoelenco"/>
        <w:shd w:val="clear" w:color="auto" w:fill="FFFFFF"/>
        <w:spacing w:line="360" w:lineRule="auto"/>
        <w:ind w:left="0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Considerato che:</w:t>
      </w:r>
    </w:p>
    <w:p w14:paraId="1CEB95FA" w14:textId="4B2E2D73" w:rsidR="004147A9" w:rsidRPr="001B0205" w:rsidRDefault="004147A9" w:rsidP="00EC5579">
      <w:pPr>
        <w:pStyle w:val="Paragrafoelenco"/>
        <w:numPr>
          <w:ilvl w:val="0"/>
          <w:numId w:val="21"/>
        </w:numPr>
        <w:shd w:val="clear" w:color="auto" w:fill="FFFFFF"/>
        <w:ind w:left="714" w:hanging="357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la delibera di adesione del Collegio dei docenti, oltre che del Consiglio di istituto, </w:t>
      </w:r>
      <w:r w:rsidRPr="001B020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è condizione imprescindibile per </w:t>
      </w:r>
      <w:r w:rsidR="00B7629A" w:rsidRPr="001B020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l’adesione alla sperimentazione</w:t>
      </w:r>
      <w:r w:rsidR="004E4BBD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;</w:t>
      </w:r>
    </w:p>
    <w:p w14:paraId="697DB84D" w14:textId="77777777" w:rsidR="00EC5579" w:rsidRPr="001B0205" w:rsidRDefault="00EC5579" w:rsidP="00EC5579">
      <w:pPr>
        <w:pStyle w:val="Paragrafoelenco"/>
        <w:shd w:val="clear" w:color="auto" w:fill="FFFFFF"/>
        <w:ind w:left="714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5EAD251A" w14:textId="309C82F6" w:rsidR="00EC5579" w:rsidRPr="001B0205" w:rsidRDefault="0019714D" w:rsidP="0019714D">
      <w:pPr>
        <w:spacing w:after="200" w:line="276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v</w:t>
      </w:r>
      <w:r w:rsidR="003D3D26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alutato</w:t>
      </w:r>
      <w:r w:rsidR="00651054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c</w:t>
      </w:r>
      <w:r w:rsidR="00EC5579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he:</w:t>
      </w:r>
    </w:p>
    <w:p w14:paraId="22235EBC" w14:textId="1A56968D" w:rsidR="00EC5579" w:rsidRPr="001B0205" w:rsidRDefault="00EC5579" w:rsidP="00EC5579">
      <w:pPr>
        <w:pStyle w:val="Paragrafoelenco"/>
        <w:numPr>
          <w:ilvl w:val="0"/>
          <w:numId w:val="21"/>
        </w:numPr>
        <w:ind w:left="714" w:hanging="357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costituisce elemento necessario dell</w:t>
      </w:r>
      <w:r w:rsidR="00DC6E55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’istituzione della Filiera formativa tecnologico-professionale </w:t>
      </w: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la </w:t>
      </w:r>
      <w:r w:rsidRPr="001B020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“progettazione” </w:t>
      </w: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di un </w:t>
      </w:r>
      <w:r w:rsidRPr="001B020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percorso quadriennale</w:t>
      </w: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di istruzione tecnica o professionale; </w:t>
      </w:r>
    </w:p>
    <w:p w14:paraId="4A16C0FA" w14:textId="4A677745" w:rsidR="00651054" w:rsidRPr="001B0205" w:rsidRDefault="00EC5579" w:rsidP="00651054">
      <w:pPr>
        <w:pStyle w:val="Paragrafoelenco"/>
        <w:numPr>
          <w:ilvl w:val="0"/>
          <w:numId w:val="21"/>
        </w:numPr>
        <w:ind w:left="714" w:hanging="357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l’attivazione </w:t>
      </w:r>
      <w:r w:rsidR="00B71065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obbligatoria </w:t>
      </w: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del percorso quadriennale </w:t>
      </w:r>
      <w:bookmarkStart w:id="6" w:name="_Hlk153482670"/>
      <w:r w:rsidRPr="001B020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comporterà l’adeguamento e rimodulazione del calendario scolastico annuale e dell’orario settimanale delle lezioni,</w:t>
      </w: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bookmarkEnd w:id="6"/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in relazione all’intero curricolo;</w:t>
      </w:r>
    </w:p>
    <w:p w14:paraId="2D3E8A44" w14:textId="775E9F58" w:rsidR="00B006E2" w:rsidRPr="001B0205" w:rsidRDefault="003D3D26" w:rsidP="00651054">
      <w:pPr>
        <w:pStyle w:val="Paragrafoelenco"/>
        <w:numPr>
          <w:ilvl w:val="0"/>
          <w:numId w:val="21"/>
        </w:numPr>
        <w:ind w:left="714" w:hanging="357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t</w:t>
      </w:r>
      <w:r w:rsidR="00B006E2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ale </w:t>
      </w:r>
      <w:r w:rsidR="00CB52DB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progettazione</w:t>
      </w:r>
      <w:r w:rsidR="00651054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, sulla base delle indicazioni contenute nel D.M. 240/2023, presuppone</w:t>
      </w:r>
      <w:r w:rsidR="00CB52DB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un</w:t>
      </w:r>
      <w:r w:rsidR="00CB52DB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a </w:t>
      </w: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complessa </w:t>
      </w:r>
      <w:r w:rsidR="00CB52DB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pro</w:t>
      </w:r>
      <w:r w:rsidR="003270CD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gramm</w:t>
      </w:r>
      <w:r w:rsidR="00CB52DB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>azione di un’offerta formativa integrata</w:t>
      </w:r>
      <w:r w:rsidR="00B006E2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con: </w:t>
      </w:r>
    </w:p>
    <w:p w14:paraId="7BC7D026" w14:textId="703F9580" w:rsidR="00B006E2" w:rsidRPr="001B0205" w:rsidRDefault="00CB52DB" w:rsidP="0019714D">
      <w:pPr>
        <w:pStyle w:val="Paragrafoelenco"/>
        <w:numPr>
          <w:ilvl w:val="0"/>
          <w:numId w:val="19"/>
        </w:numPr>
        <w:spacing w:after="120"/>
        <w:ind w:left="714" w:hanging="357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lastRenderedPageBreak/>
        <w:t xml:space="preserve">un percorso </w:t>
      </w:r>
      <w:r w:rsidR="003270CD"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di IeFP </w:t>
      </w: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per il conseguimento del diploma professionale </w:t>
      </w:r>
    </w:p>
    <w:p w14:paraId="5E2B6143" w14:textId="77777777" w:rsidR="00B006E2" w:rsidRPr="001B0205" w:rsidRDefault="00B006E2" w:rsidP="0019714D">
      <w:pPr>
        <w:pStyle w:val="Paragrafoelenco"/>
        <w:numPr>
          <w:ilvl w:val="0"/>
          <w:numId w:val="19"/>
        </w:numPr>
        <w:spacing w:after="120"/>
        <w:ind w:left="714" w:hanging="357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un percorso biennale di ITS Academy di area tecnologica coerente con l’indirizzo </w:t>
      </w:r>
    </w:p>
    <w:p w14:paraId="2F99A10D" w14:textId="77777777" w:rsidR="003D3D26" w:rsidRPr="001B0205" w:rsidRDefault="00B006E2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l’attivazione del partenariato con almeno una impresa </w:t>
      </w:r>
    </w:p>
    <w:p w14:paraId="08D75290" w14:textId="2EB4AB2A" w:rsidR="003D3D26" w:rsidRPr="001B0205" w:rsidRDefault="004E4BBD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potenziamento e anticipo </w:t>
      </w:r>
      <w:r w:rsidR="00DD13B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del PCTO al secondo anno </w:t>
      </w:r>
      <w:r w:rsidR="003D3D26" w:rsidRPr="001B0205">
        <w:rPr>
          <w:rFonts w:asciiTheme="minorHAnsi" w:hAnsiTheme="minorHAnsi" w:cstheme="minorHAnsi"/>
          <w:sz w:val="28"/>
          <w:szCs w:val="28"/>
        </w:rPr>
        <w:t xml:space="preserve">e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ricorso ordinario all’apprendistato</w:t>
      </w:r>
    </w:p>
    <w:p w14:paraId="22F34D5E" w14:textId="77777777" w:rsidR="003D3D26" w:rsidRPr="001B0205" w:rsidRDefault="004E4BBD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hAnsiTheme="minorHAnsi" w:cstheme="minorHAnsi"/>
          <w:sz w:val="28"/>
          <w:szCs w:val="28"/>
        </w:rPr>
        <w:t xml:space="preserve">integrazione </w:t>
      </w:r>
      <w:r w:rsidR="003270CD" w:rsidRPr="001B0205">
        <w:rPr>
          <w:rFonts w:asciiTheme="minorHAnsi" w:hAnsiTheme="minorHAnsi" w:cstheme="minorHAnsi"/>
          <w:sz w:val="28"/>
          <w:szCs w:val="28"/>
        </w:rPr>
        <w:t>con la</w:t>
      </w:r>
      <w:r w:rsidR="0077423C" w:rsidRPr="001B0205">
        <w:rPr>
          <w:rFonts w:asciiTheme="minorHAnsi" w:hAnsiTheme="minorHAnsi" w:cstheme="minorHAnsi"/>
          <w:sz w:val="28"/>
          <w:szCs w:val="28"/>
        </w:rPr>
        <w:t xml:space="preserve"> programmazione regionale della filiera formativa</w:t>
      </w:r>
      <w:r w:rsidR="00494793" w:rsidRPr="001B020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1440E43" w14:textId="77777777" w:rsidR="003D3D26" w:rsidRPr="001B0205" w:rsidRDefault="003D3D26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sz w:val="28"/>
          <w:szCs w:val="28"/>
        </w:rPr>
      </w:pPr>
      <w:r w:rsidRPr="001B0205">
        <w:rPr>
          <w:rFonts w:asciiTheme="minorHAnsi" w:hAnsiTheme="minorHAnsi" w:cstheme="minorHAnsi"/>
          <w:sz w:val="28"/>
          <w:szCs w:val="28"/>
        </w:rPr>
        <w:t>l’i</w:t>
      </w:r>
      <w:r w:rsidR="003270CD" w:rsidRPr="001B0205">
        <w:rPr>
          <w:rFonts w:asciiTheme="minorHAnsi" w:hAnsiTheme="minorHAnsi" w:cstheme="minorHAnsi"/>
          <w:sz w:val="28"/>
          <w:szCs w:val="28"/>
        </w:rPr>
        <w:t xml:space="preserve">mpegno </w:t>
      </w:r>
      <w:r w:rsidRPr="001B0205">
        <w:rPr>
          <w:rFonts w:asciiTheme="minorHAnsi" w:hAnsiTheme="minorHAnsi" w:cstheme="minorHAnsi"/>
          <w:sz w:val="28"/>
          <w:szCs w:val="28"/>
        </w:rPr>
        <w:t xml:space="preserve">formale </w:t>
      </w:r>
      <w:r w:rsidR="003270CD" w:rsidRPr="001B0205">
        <w:rPr>
          <w:rFonts w:asciiTheme="minorHAnsi" w:hAnsiTheme="minorHAnsi" w:cstheme="minorHAnsi"/>
          <w:sz w:val="28"/>
          <w:szCs w:val="28"/>
        </w:rPr>
        <w:t xml:space="preserve">a costituire una rete </w:t>
      </w:r>
      <w:r w:rsidR="004E4BBD" w:rsidRPr="001B0205">
        <w:rPr>
          <w:rFonts w:asciiTheme="minorHAnsi" w:hAnsiTheme="minorHAnsi" w:cstheme="minorHAnsi"/>
          <w:sz w:val="28"/>
          <w:szCs w:val="28"/>
        </w:rPr>
        <w:t>con i soggetti sopraelencat</w:t>
      </w:r>
      <w:r w:rsidRPr="001B0205">
        <w:rPr>
          <w:rFonts w:asciiTheme="minorHAnsi" w:hAnsiTheme="minorHAnsi" w:cstheme="minorHAnsi"/>
          <w:sz w:val="28"/>
          <w:szCs w:val="28"/>
        </w:rPr>
        <w:t>i</w:t>
      </w:r>
    </w:p>
    <w:p w14:paraId="7D41656F" w14:textId="77777777" w:rsidR="003D3D26" w:rsidRPr="001B0205" w:rsidRDefault="003D3D26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l’introduzione di moduli didattici e attività laboratoriali svolti da soggetti provenienti dai settori imprenditoriali e delle professioni </w:t>
      </w:r>
    </w:p>
    <w:p w14:paraId="5CD7BBFA" w14:textId="2C3A1D4D" w:rsidR="003D3D26" w:rsidRPr="001B0205" w:rsidRDefault="003D3D26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conseguimento di certificazioni internazionali che attestino le competenze linguistico-comunicative in lingua straniera (CLIL);</w:t>
      </w:r>
    </w:p>
    <w:p w14:paraId="1B4233C2" w14:textId="6FDCAAAC" w:rsidR="00192FB8" w:rsidRPr="001B0205" w:rsidRDefault="00710B1F" w:rsidP="00192FB8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condivise</w:t>
      </w:r>
      <w:r w:rsidR="00CB56BA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le valutazioni espresse dal CSPI</w:t>
      </w:r>
      <w:r w:rsidR="003A443D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B7629A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che</w:t>
      </w:r>
      <w:r w:rsidR="003A443D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sollevano alcune puntuali perplessità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in relazione 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ai seguenti punti: </w:t>
      </w:r>
    </w:p>
    <w:p w14:paraId="0771713A" w14:textId="1EF52F04" w:rsidR="001D51C1" w:rsidRPr="001B0205" w:rsidRDefault="00651054" w:rsidP="00192FB8">
      <w:pPr>
        <w:pStyle w:val="Paragrafoelenco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 sostanziale sfiducia </w:t>
      </w:r>
      <w:r w:rsidR="00CB56BA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di studenti e famiglie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nei confronti de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lle </w:t>
      </w:r>
      <w:r w:rsidR="001D51C1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precedenti sperimentazioni quadriennali</w:t>
      </w:r>
      <w:r w:rsidR="001D51C1" w:rsidRPr="001B0205">
        <w:rPr>
          <w:rFonts w:asciiTheme="minorHAnsi" w:hAnsiTheme="minorHAnsi" w:cstheme="minorHAnsi"/>
          <w:sz w:val="28"/>
          <w:szCs w:val="28"/>
        </w:rPr>
        <w:t xml:space="preserve"> (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D.M. n. 344/2021)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infatti, 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“su mille potenziali nuove classi quadriennali, ne sono state autorizzate complessivamente per tutti gli indirizzi 243, mentre rispetto alle 192 classi autorizzate (poi 175 effettive), ai sensi del D.M. n. 567/2017 e del D.M. n. 89/2018, è stato chiesto il rinnovo per 98 classi”;</w:t>
      </w:r>
    </w:p>
    <w:p w14:paraId="4C3BBFC8" w14:textId="61E43542" w:rsidR="00710B1F" w:rsidRPr="001B0205" w:rsidRDefault="00651054" w:rsidP="00192FB8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 perplessità rispetto alla generica considerazione </w:t>
      </w:r>
      <w:r w:rsidR="00192FB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di “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istituti tecnici e professionali in modo indistinto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” che complica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“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alcuni passaggi che non sembrano parimenti adeguati nei diversi indirizzi, a partire dalla </w:t>
      </w:r>
      <w:r w:rsidR="001D51C1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previsione dell’apprendistato formativo e dei percorsi per le competenze trasversali e l’orientamento (PTCO) già dal secondo anno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”;</w:t>
      </w:r>
    </w:p>
    <w:p w14:paraId="3B59737A" w14:textId="4930D93E" w:rsidR="001D51C1" w:rsidRPr="001B0205" w:rsidRDefault="00651054" w:rsidP="00192FB8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la preoccupazione di natura pedagogica relativa a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ll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’</w:t>
      </w:r>
      <w:r w:rsidR="00E115EA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“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anticipazione agli alunni del secondo anno, ancora in obbligo di istruzione, dei PTCO</w:t>
      </w:r>
      <w:r w:rsidR="00E115EA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”</w:t>
      </w:r>
      <w:r w:rsidR="001D51C1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E115EA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da valutare come “</w:t>
      </w:r>
      <w:r w:rsidR="001D51C1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tendenza costante verso l’anticipazione di esperienze lavorative che</w:t>
      </w:r>
      <w:r w:rsidR="00416AC8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(…) possono risultare insignificanti e perfino pericolose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se destinate ad alunni che non siano ancora pronti ad assumere gli atteggiamenti adeguati in contesti reali non scolastici”;</w:t>
      </w:r>
    </w:p>
    <w:p w14:paraId="19553ED7" w14:textId="2AA5A0AF" w:rsidR="00416AC8" w:rsidRPr="001B0205" w:rsidRDefault="00E115EA" w:rsidP="00192FB8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 complessa contemporanea presenza di innovazioni ordinamentali come la recente riforma </w:t>
      </w:r>
      <w:r w:rsidR="00135BD7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degli</w:t>
      </w:r>
      <w:r w:rsidR="00135BD7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ITS Academy</w:t>
      </w:r>
      <w:r w:rsidR="00135BD7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ancora in fase di avvio,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degli </w:t>
      </w:r>
      <w:r w:rsidR="00416AC8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istituti professionali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(ex 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decreto legislativo n. 61/2017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)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che 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necessita ancora di misure di implementazione e di accompagnamento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o come la riforma d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egli </w:t>
      </w:r>
      <w:r w:rsidR="00416AC8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istituti tecnic</w:t>
      </w: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i</w:t>
      </w:r>
      <w:r w:rsidR="00135BD7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, prevista per l’anno scolastico 2025/26.</w:t>
      </w: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Ciò potrebbe comportare</w:t>
      </w:r>
      <w:r w:rsidR="00135BD7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, proprio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nell’a.s.</w:t>
      </w:r>
      <w:proofErr w:type="spellEnd"/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202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/2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6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la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“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contestuale presenza di classi che seguono l’ordinamento di cui al d.P.R. n. 88/2010, classi quadriennali autorizzate ai sensi del D.M. n. 344/2021 e classi prime quadriennali di cui al piano sperimentale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(…)” (D.M. 240/2023)</w:t>
      </w:r>
      <w:r w:rsidR="00135BD7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;</w:t>
      </w:r>
    </w:p>
    <w:p w14:paraId="77A19651" w14:textId="264554F6" w:rsidR="00416AC8" w:rsidRPr="001B0205" w:rsidRDefault="00F03376" w:rsidP="00192FB8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lastRenderedPageBreak/>
        <w:t xml:space="preserve">la presenza di soggetti privati nelle fasi della programmazione del curriculo, così come rappresentato anche nel parere CSPI: 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“Sarà necessario, altresì, </w:t>
      </w:r>
      <w:r w:rsidR="00416AC8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nella fase di definizione degli accordi di partenariato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indicare modalità tali da rispettare le competenze dei diversi soggetti aderenti alla rete, </w:t>
      </w:r>
      <w:r w:rsidR="00416AC8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evitando confusione di ruoli riguardo alla progettazione dell’offerta formativa di cui la responsabilità resta in capo alla scuola</w:t>
      </w:r>
      <w:r w:rsidR="00416AC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”;</w:t>
      </w:r>
    </w:p>
    <w:p w14:paraId="3123511F" w14:textId="3D9FF7F8" w:rsidR="00EC5579" w:rsidRPr="001B0205" w:rsidRDefault="00EC5579" w:rsidP="00192FB8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“(…) si aggiunge un’ulteriore preoccupazione, ossia che l’intervento sulla struttura e sulla durata dei percorsi di istruzione tecnica e professionale comporti una </w:t>
      </w: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compressione dei contenuti dei curricoli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e una loro rimodulazione che, oltretutto, nei fatti potrebbe </w:t>
      </w: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impoverire l’offerta formativa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(…)”</w:t>
      </w:r>
      <w:r w:rsidR="00F03376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14:paraId="2E58E377" w14:textId="77777777" w:rsidR="00192FB8" w:rsidRPr="001B0205" w:rsidRDefault="00F03376" w:rsidP="00192FB8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Oltre ai sopra elencati motivi tecnico-professionali, il Collegio dei docenti rappresenta le seguenti ragioni di contrarietà</w:t>
      </w:r>
      <w:r w:rsidR="00192FB8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</w:p>
    <w:p w14:paraId="375F48CA" w14:textId="19020759" w:rsidR="00F03376" w:rsidRPr="001B0205" w:rsidRDefault="00192FB8" w:rsidP="00192FB8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L</w:t>
      </w:r>
      <w:r w:rsidR="00F03376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’istituzione della filiera formativa tecnologico-professionale apre le porte alla regionalizzazione del sistema pubblico di istruzione, alla stipula di contratti di prestazione d’opera con soggetti del sistema delle imprese e delle professioni per attività di insegnamento e di formazione, nonché di “addestramento” nell’ambito delle attività laboratoriali e dei percorsi per le competenze trasversali e per l’orientamento (PCTO) e all’inserimento dei privati anche nella programmazione dell’offerta formativa. Con l’attivazione di percorsi quadriennali, si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prevede</w:t>
      </w:r>
      <w:r w:rsidR="00F03376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una formazione di qualità 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ridotta </w:t>
      </w:r>
      <w:r w:rsidR="00F03376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(meno ore di didattica generale e più ore di PCTO e apprendistato anticipati a quindici anni) con il rischio serio che si crei una confusione di ruoli e responsabilità tra scuole autonome e Regioni sulla programmazione dell’offerta formativa della filiera - che ricade sulla Regione svilendo l’autonomia scolastica - e della valutazione degli apprendimenti, sul funzionamento degli organi collegiali e del loro coordinamento con le altre istituzioni (pubbliche e private) coinvolte.</w:t>
      </w:r>
    </w:p>
    <w:p w14:paraId="43910026" w14:textId="15443E35" w:rsidR="00F03376" w:rsidRPr="001B0205" w:rsidRDefault="00192FB8" w:rsidP="00F03376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In conclusione, il rischio concreto è di</w:t>
      </w:r>
      <w:r w:rsidR="00F03376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alimentare un’idea ridotta d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 </w:t>
      </w:r>
      <w:r w:rsidR="00F03376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istruzione</w:t>
      </w: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solo </w:t>
      </w:r>
      <w:r w:rsidR="00F03376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funzionale al mercato e all’impresa, insomma una visione di studentesse e studenti come soggetti essi stessi prodotto di una “filiera”.</w:t>
      </w:r>
    </w:p>
    <w:p w14:paraId="3A0D476D" w14:textId="7807707C" w:rsidR="00B045C9" w:rsidRPr="001B0205" w:rsidRDefault="00192FB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lastRenderedPageBreak/>
        <w:t>P</w:t>
      </w:r>
      <w:r w:rsidR="00BD30A9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>er tutti i motivi sopra riportati</w:t>
      </w:r>
      <w:r w:rsidR="00B045C9" w:rsidRPr="001B02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710B1F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il</w:t>
      </w:r>
      <w:r w:rsidR="00BD30A9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710B1F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</w:t>
      </w:r>
      <w:r w:rsidR="00BD30A9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ollegio dei docenti </w:t>
      </w:r>
      <w:r w:rsidR="00710B1F" w:rsidRPr="001B0205">
        <w:rPr>
          <w:rFonts w:asciiTheme="minorHAnsi" w:hAnsiTheme="minorHAnsi" w:cstheme="minorHAnsi"/>
          <w:b/>
          <w:bCs/>
          <w:sz w:val="28"/>
          <w:szCs w:val="28"/>
        </w:rPr>
        <w:t>dell’Istituto ………………</w:t>
      </w:r>
      <w:r w:rsidR="001B0205">
        <w:rPr>
          <w:rFonts w:asciiTheme="minorHAnsi" w:hAnsiTheme="minorHAnsi" w:cstheme="minorHAnsi"/>
          <w:b/>
          <w:bCs/>
          <w:sz w:val="28"/>
          <w:szCs w:val="28"/>
        </w:rPr>
        <w:t>……….</w:t>
      </w:r>
    </w:p>
    <w:p w14:paraId="24868C7E" w14:textId="0E5FFB6E" w:rsidR="00B045C9" w:rsidRPr="001B0205" w:rsidRDefault="00710B1F" w:rsidP="00B045C9">
      <w:pPr>
        <w:shd w:val="clear" w:color="auto" w:fill="FFFFFF"/>
        <w:autoSpaceDE w:val="0"/>
        <w:autoSpaceDN w:val="0"/>
        <w:adjustRightInd w:val="0"/>
        <w:spacing w:after="200" w:line="360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d</w:t>
      </w:r>
      <w:r w:rsidR="00BD30A9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elibera</w:t>
      </w:r>
    </w:p>
    <w:p w14:paraId="4ECEC979" w14:textId="39BC42AF" w:rsidR="00BD30A9" w:rsidRPr="001B0205" w:rsidRDefault="00BD30A9" w:rsidP="001B0205">
      <w:p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di non </w:t>
      </w:r>
      <w:r w:rsidR="00B71065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accogliere </w:t>
      </w:r>
      <w:r w:rsidR="00CB56BA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proposte di </w:t>
      </w:r>
      <w:r w:rsidR="00B7629A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attivazione di percorsi quadriennali </w:t>
      </w: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sperimen</w:t>
      </w:r>
      <w:r w:rsidR="00B7629A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tali ai fini dell’ad</w:t>
      </w:r>
      <w:r w:rsidR="00651054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es</w:t>
      </w:r>
      <w:r w:rsidR="00B7629A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ione a</w:t>
      </w: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lla filiera</w:t>
      </w:r>
      <w:r w:rsidR="00B7629A" w:rsidRPr="001B0205">
        <w:rPr>
          <w:rFonts w:asciiTheme="minorHAnsi" w:hAnsiTheme="minorHAnsi" w:cstheme="minorHAnsi"/>
          <w:sz w:val="28"/>
          <w:szCs w:val="28"/>
        </w:rPr>
        <w:t xml:space="preserve"> </w:t>
      </w:r>
      <w:r w:rsidR="00B7629A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formativa tecnologico-professionale</w:t>
      </w: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B7629A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di cui alla Legge 121 dell'8 agosto 2024</w:t>
      </w: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56936594" w14:textId="0955DB10" w:rsidR="00BD30A9" w:rsidRPr="001B0205" w:rsidRDefault="00BD30A9" w:rsidP="001B0205">
      <w:p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La presente delibera è adottata all’unanimità/maggioranza</w:t>
      </w:r>
      <w:r w:rsidR="000C5837" w:rsidRPr="001B020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5F1884BF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63739D59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6EAD4D61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55B816DD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6D7B99DF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3AB77C75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0A21309B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0F49AC30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20184B88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7AFB0476" w14:textId="77777777" w:rsidR="00E91988" w:rsidRPr="001B0205" w:rsidRDefault="00E91988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12609E18" w14:textId="77777777" w:rsidR="00BD30A9" w:rsidRPr="001B0205" w:rsidRDefault="00BD30A9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6E497ACF" w14:textId="77777777" w:rsidR="003D3D26" w:rsidRPr="001B0205" w:rsidRDefault="003D3D26" w:rsidP="003D3D26">
      <w:pPr>
        <w:pStyle w:val="Paragrafoelenco"/>
        <w:shd w:val="clear" w:color="auto" w:fill="FFFFFF"/>
        <w:autoSpaceDE w:val="0"/>
        <w:autoSpaceDN w:val="0"/>
        <w:adjustRightInd w:val="0"/>
        <w:spacing w:after="200" w:line="360" w:lineRule="auto"/>
        <w:ind w:left="108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699A6D68" w14:textId="77777777" w:rsidR="003D3D26" w:rsidRPr="001B0205" w:rsidRDefault="003D3D26" w:rsidP="003D3D26">
      <w:pPr>
        <w:pStyle w:val="Paragrafoelenco"/>
        <w:shd w:val="clear" w:color="auto" w:fill="FFFFFF"/>
        <w:autoSpaceDE w:val="0"/>
        <w:autoSpaceDN w:val="0"/>
        <w:adjustRightInd w:val="0"/>
        <w:spacing w:after="200" w:line="360" w:lineRule="auto"/>
        <w:ind w:left="108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3B94586C" w14:textId="77777777" w:rsidR="003D3D26" w:rsidRPr="001B0205" w:rsidRDefault="003D3D26" w:rsidP="003D3D26">
      <w:pPr>
        <w:pStyle w:val="Paragrafoelenco"/>
        <w:shd w:val="clear" w:color="auto" w:fill="FFFFFF"/>
        <w:autoSpaceDE w:val="0"/>
        <w:autoSpaceDN w:val="0"/>
        <w:adjustRightInd w:val="0"/>
        <w:spacing w:after="200" w:line="36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</w:p>
    <w:p w14:paraId="00ADEA7F" w14:textId="77777777" w:rsidR="003D3D26" w:rsidRPr="001B0205" w:rsidRDefault="003D3D26" w:rsidP="003D3D26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sectPr w:rsidR="003D3D26" w:rsidRPr="001B0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8EA9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6FACF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40F45"/>
    <w:multiLevelType w:val="hybridMultilevel"/>
    <w:tmpl w:val="16145E4A"/>
    <w:lvl w:ilvl="0" w:tplc="0410000F">
      <w:start w:val="1"/>
      <w:numFmt w:val="decimal"/>
      <w:lvlText w:val="%1."/>
      <w:lvlJc w:val="left"/>
      <w:pPr>
        <w:ind w:left="3528" w:hanging="360"/>
      </w:pPr>
    </w:lvl>
    <w:lvl w:ilvl="1" w:tplc="04100019" w:tentative="1">
      <w:start w:val="1"/>
      <w:numFmt w:val="lowerLetter"/>
      <w:lvlText w:val="%2."/>
      <w:lvlJc w:val="left"/>
      <w:pPr>
        <w:ind w:left="4248" w:hanging="360"/>
      </w:pPr>
    </w:lvl>
    <w:lvl w:ilvl="2" w:tplc="0410001B" w:tentative="1">
      <w:start w:val="1"/>
      <w:numFmt w:val="lowerRoman"/>
      <w:lvlText w:val="%3."/>
      <w:lvlJc w:val="right"/>
      <w:pPr>
        <w:ind w:left="4968" w:hanging="180"/>
      </w:pPr>
    </w:lvl>
    <w:lvl w:ilvl="3" w:tplc="0410000F" w:tentative="1">
      <w:start w:val="1"/>
      <w:numFmt w:val="decimal"/>
      <w:lvlText w:val="%4."/>
      <w:lvlJc w:val="left"/>
      <w:pPr>
        <w:ind w:left="5688" w:hanging="360"/>
      </w:pPr>
    </w:lvl>
    <w:lvl w:ilvl="4" w:tplc="04100019" w:tentative="1">
      <w:start w:val="1"/>
      <w:numFmt w:val="lowerLetter"/>
      <w:lvlText w:val="%5."/>
      <w:lvlJc w:val="left"/>
      <w:pPr>
        <w:ind w:left="6408" w:hanging="360"/>
      </w:pPr>
    </w:lvl>
    <w:lvl w:ilvl="5" w:tplc="0410001B" w:tentative="1">
      <w:start w:val="1"/>
      <w:numFmt w:val="lowerRoman"/>
      <w:lvlText w:val="%6."/>
      <w:lvlJc w:val="right"/>
      <w:pPr>
        <w:ind w:left="7128" w:hanging="180"/>
      </w:pPr>
    </w:lvl>
    <w:lvl w:ilvl="6" w:tplc="0410000F" w:tentative="1">
      <w:start w:val="1"/>
      <w:numFmt w:val="decimal"/>
      <w:lvlText w:val="%7."/>
      <w:lvlJc w:val="left"/>
      <w:pPr>
        <w:ind w:left="7848" w:hanging="360"/>
      </w:pPr>
    </w:lvl>
    <w:lvl w:ilvl="7" w:tplc="04100019" w:tentative="1">
      <w:start w:val="1"/>
      <w:numFmt w:val="lowerLetter"/>
      <w:lvlText w:val="%8."/>
      <w:lvlJc w:val="left"/>
      <w:pPr>
        <w:ind w:left="8568" w:hanging="360"/>
      </w:pPr>
    </w:lvl>
    <w:lvl w:ilvl="8" w:tplc="0410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3" w15:restartNumberingAfterBreak="0">
    <w:nsid w:val="0879298A"/>
    <w:multiLevelType w:val="hybridMultilevel"/>
    <w:tmpl w:val="B4B88F8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25DC2"/>
    <w:multiLevelType w:val="multilevel"/>
    <w:tmpl w:val="38E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02E5A"/>
    <w:multiLevelType w:val="hybridMultilevel"/>
    <w:tmpl w:val="E31421F0"/>
    <w:lvl w:ilvl="0" w:tplc="04100011">
      <w:start w:val="1"/>
      <w:numFmt w:val="decimal"/>
      <w:lvlText w:val="%1)"/>
      <w:lvlJc w:val="left"/>
      <w:pPr>
        <w:ind w:left="696" w:hanging="360"/>
      </w:pPr>
    </w:lvl>
    <w:lvl w:ilvl="1" w:tplc="04100019" w:tentative="1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40E087D"/>
    <w:multiLevelType w:val="hybridMultilevel"/>
    <w:tmpl w:val="B57E5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412A"/>
    <w:multiLevelType w:val="hybridMultilevel"/>
    <w:tmpl w:val="2354A498"/>
    <w:lvl w:ilvl="0" w:tplc="4A1C83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523F"/>
    <w:multiLevelType w:val="hybridMultilevel"/>
    <w:tmpl w:val="FFD2C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D1708"/>
    <w:multiLevelType w:val="hybridMultilevel"/>
    <w:tmpl w:val="DDD2449A"/>
    <w:lvl w:ilvl="0" w:tplc="DFD20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D5102"/>
    <w:multiLevelType w:val="hybridMultilevel"/>
    <w:tmpl w:val="248092B0"/>
    <w:lvl w:ilvl="0" w:tplc="37424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DF8E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3B1261C"/>
    <w:multiLevelType w:val="hybridMultilevel"/>
    <w:tmpl w:val="9A22B1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502FD"/>
    <w:multiLevelType w:val="hybridMultilevel"/>
    <w:tmpl w:val="E31421F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DC1F75"/>
    <w:multiLevelType w:val="hybridMultilevel"/>
    <w:tmpl w:val="AAE0D734"/>
    <w:lvl w:ilvl="0" w:tplc="80D4E98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261FA"/>
    <w:multiLevelType w:val="hybridMultilevel"/>
    <w:tmpl w:val="150015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A7FA0"/>
    <w:multiLevelType w:val="multilevel"/>
    <w:tmpl w:val="ECB2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57F19"/>
    <w:multiLevelType w:val="hybridMultilevel"/>
    <w:tmpl w:val="E31421F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E615D"/>
    <w:multiLevelType w:val="hybridMultilevel"/>
    <w:tmpl w:val="E31421F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D718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4163AC5"/>
    <w:multiLevelType w:val="hybridMultilevel"/>
    <w:tmpl w:val="8F82D0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F62E4"/>
    <w:multiLevelType w:val="hybridMultilevel"/>
    <w:tmpl w:val="25D6E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542C7"/>
    <w:multiLevelType w:val="hybridMultilevel"/>
    <w:tmpl w:val="0DFCD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6603">
    <w:abstractNumId w:val="4"/>
  </w:num>
  <w:num w:numId="2" w16cid:durableId="1178665272">
    <w:abstractNumId w:val="9"/>
  </w:num>
  <w:num w:numId="3" w16cid:durableId="1705862541">
    <w:abstractNumId w:val="7"/>
  </w:num>
  <w:num w:numId="4" w16cid:durableId="540938236">
    <w:abstractNumId w:val="16"/>
  </w:num>
  <w:num w:numId="5" w16cid:durableId="2053380905">
    <w:abstractNumId w:val="10"/>
  </w:num>
  <w:num w:numId="6" w16cid:durableId="1496258163">
    <w:abstractNumId w:val="20"/>
  </w:num>
  <w:num w:numId="7" w16cid:durableId="706640343">
    <w:abstractNumId w:val="3"/>
  </w:num>
  <w:num w:numId="8" w16cid:durableId="32006196">
    <w:abstractNumId w:val="15"/>
  </w:num>
  <w:num w:numId="9" w16cid:durableId="731659781">
    <w:abstractNumId w:val="0"/>
  </w:num>
  <w:num w:numId="10" w16cid:durableId="816916454">
    <w:abstractNumId w:val="12"/>
  </w:num>
  <w:num w:numId="11" w16cid:durableId="843980787">
    <w:abstractNumId w:val="11"/>
  </w:num>
  <w:num w:numId="12" w16cid:durableId="970089812">
    <w:abstractNumId w:val="5"/>
  </w:num>
  <w:num w:numId="13" w16cid:durableId="951744613">
    <w:abstractNumId w:val="19"/>
  </w:num>
  <w:num w:numId="14" w16cid:durableId="617953698">
    <w:abstractNumId w:val="1"/>
  </w:num>
  <w:num w:numId="15" w16cid:durableId="1269584339">
    <w:abstractNumId w:val="13"/>
  </w:num>
  <w:num w:numId="16" w16cid:durableId="154078459">
    <w:abstractNumId w:val="18"/>
  </w:num>
  <w:num w:numId="17" w16cid:durableId="674264451">
    <w:abstractNumId w:val="17"/>
  </w:num>
  <w:num w:numId="18" w16cid:durableId="509830118">
    <w:abstractNumId w:val="14"/>
  </w:num>
  <w:num w:numId="19" w16cid:durableId="490020752">
    <w:abstractNumId w:val="2"/>
  </w:num>
  <w:num w:numId="20" w16cid:durableId="1124301508">
    <w:abstractNumId w:val="21"/>
  </w:num>
  <w:num w:numId="21" w16cid:durableId="780228580">
    <w:abstractNumId w:val="6"/>
  </w:num>
  <w:num w:numId="22" w16cid:durableId="359865619">
    <w:abstractNumId w:val="8"/>
  </w:num>
  <w:num w:numId="23" w16cid:durableId="20166871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5"/>
    <w:rsid w:val="000056D5"/>
    <w:rsid w:val="00013B74"/>
    <w:rsid w:val="000170CC"/>
    <w:rsid w:val="000256BE"/>
    <w:rsid w:val="00032C7B"/>
    <w:rsid w:val="000427C0"/>
    <w:rsid w:val="0008641D"/>
    <w:rsid w:val="00087B97"/>
    <w:rsid w:val="000C5837"/>
    <w:rsid w:val="000D6440"/>
    <w:rsid w:val="000D7F68"/>
    <w:rsid w:val="000E446E"/>
    <w:rsid w:val="001011E0"/>
    <w:rsid w:val="00103FB4"/>
    <w:rsid w:val="00111F67"/>
    <w:rsid w:val="00135BD7"/>
    <w:rsid w:val="00151877"/>
    <w:rsid w:val="00164C69"/>
    <w:rsid w:val="00192FB8"/>
    <w:rsid w:val="0019714D"/>
    <w:rsid w:val="001B0205"/>
    <w:rsid w:val="001C734A"/>
    <w:rsid w:val="001D51C1"/>
    <w:rsid w:val="002034EB"/>
    <w:rsid w:val="00217665"/>
    <w:rsid w:val="00261A46"/>
    <w:rsid w:val="002713C9"/>
    <w:rsid w:val="002731FC"/>
    <w:rsid w:val="002816C6"/>
    <w:rsid w:val="002D41A5"/>
    <w:rsid w:val="002D7958"/>
    <w:rsid w:val="00300C1A"/>
    <w:rsid w:val="00317FE1"/>
    <w:rsid w:val="003202D8"/>
    <w:rsid w:val="003240F4"/>
    <w:rsid w:val="003270CD"/>
    <w:rsid w:val="003768DA"/>
    <w:rsid w:val="00382EB7"/>
    <w:rsid w:val="00390BF9"/>
    <w:rsid w:val="003A443D"/>
    <w:rsid w:val="003D3D26"/>
    <w:rsid w:val="003F5054"/>
    <w:rsid w:val="004147A9"/>
    <w:rsid w:val="00416AC8"/>
    <w:rsid w:val="00422165"/>
    <w:rsid w:val="00435AC3"/>
    <w:rsid w:val="004529F1"/>
    <w:rsid w:val="00453F21"/>
    <w:rsid w:val="004741A2"/>
    <w:rsid w:val="004747BB"/>
    <w:rsid w:val="0048080E"/>
    <w:rsid w:val="004875F8"/>
    <w:rsid w:val="00494793"/>
    <w:rsid w:val="004951A7"/>
    <w:rsid w:val="004E4BBD"/>
    <w:rsid w:val="004E4C6F"/>
    <w:rsid w:val="004F6B89"/>
    <w:rsid w:val="00527FC7"/>
    <w:rsid w:val="00553A5E"/>
    <w:rsid w:val="005641AB"/>
    <w:rsid w:val="005644D1"/>
    <w:rsid w:val="005852FD"/>
    <w:rsid w:val="005B0831"/>
    <w:rsid w:val="005B39B8"/>
    <w:rsid w:val="005D433E"/>
    <w:rsid w:val="005D62F3"/>
    <w:rsid w:val="005E322D"/>
    <w:rsid w:val="005F067A"/>
    <w:rsid w:val="005F51C8"/>
    <w:rsid w:val="006213E9"/>
    <w:rsid w:val="00624088"/>
    <w:rsid w:val="00651054"/>
    <w:rsid w:val="00666ECB"/>
    <w:rsid w:val="00670703"/>
    <w:rsid w:val="00672DBE"/>
    <w:rsid w:val="006970D6"/>
    <w:rsid w:val="006A0EA1"/>
    <w:rsid w:val="006C25EB"/>
    <w:rsid w:val="006C6F09"/>
    <w:rsid w:val="006D567D"/>
    <w:rsid w:val="006D7D31"/>
    <w:rsid w:val="00701340"/>
    <w:rsid w:val="00710B1F"/>
    <w:rsid w:val="00751211"/>
    <w:rsid w:val="00752884"/>
    <w:rsid w:val="0077423C"/>
    <w:rsid w:val="007D6369"/>
    <w:rsid w:val="007D64F4"/>
    <w:rsid w:val="00804CA2"/>
    <w:rsid w:val="0086709F"/>
    <w:rsid w:val="008E3EC7"/>
    <w:rsid w:val="008F351A"/>
    <w:rsid w:val="00902CF4"/>
    <w:rsid w:val="00904901"/>
    <w:rsid w:val="009279F3"/>
    <w:rsid w:val="00944780"/>
    <w:rsid w:val="009611D1"/>
    <w:rsid w:val="00975968"/>
    <w:rsid w:val="0099633C"/>
    <w:rsid w:val="009A4B4B"/>
    <w:rsid w:val="009C167C"/>
    <w:rsid w:val="009F44F9"/>
    <w:rsid w:val="009F7E34"/>
    <w:rsid w:val="00A10FF0"/>
    <w:rsid w:val="00A15240"/>
    <w:rsid w:val="00A535C8"/>
    <w:rsid w:val="00AB085E"/>
    <w:rsid w:val="00AC7627"/>
    <w:rsid w:val="00AC77C7"/>
    <w:rsid w:val="00AE739A"/>
    <w:rsid w:val="00B006E2"/>
    <w:rsid w:val="00B00D56"/>
    <w:rsid w:val="00B045C9"/>
    <w:rsid w:val="00B1147A"/>
    <w:rsid w:val="00B22E3D"/>
    <w:rsid w:val="00B3108C"/>
    <w:rsid w:val="00B35003"/>
    <w:rsid w:val="00B54CFE"/>
    <w:rsid w:val="00B71065"/>
    <w:rsid w:val="00B7629A"/>
    <w:rsid w:val="00BC0985"/>
    <w:rsid w:val="00BC7946"/>
    <w:rsid w:val="00BD30A9"/>
    <w:rsid w:val="00C012D0"/>
    <w:rsid w:val="00C03B4B"/>
    <w:rsid w:val="00C138D8"/>
    <w:rsid w:val="00C17139"/>
    <w:rsid w:val="00C340B7"/>
    <w:rsid w:val="00C932B5"/>
    <w:rsid w:val="00C97128"/>
    <w:rsid w:val="00CA1222"/>
    <w:rsid w:val="00CB52DB"/>
    <w:rsid w:val="00CB56BA"/>
    <w:rsid w:val="00CB7F28"/>
    <w:rsid w:val="00CD0AC8"/>
    <w:rsid w:val="00CD642B"/>
    <w:rsid w:val="00CF7EDE"/>
    <w:rsid w:val="00D56957"/>
    <w:rsid w:val="00D6423D"/>
    <w:rsid w:val="00DB0746"/>
    <w:rsid w:val="00DC49A3"/>
    <w:rsid w:val="00DC6E55"/>
    <w:rsid w:val="00DD13B1"/>
    <w:rsid w:val="00DD67C7"/>
    <w:rsid w:val="00DE09E5"/>
    <w:rsid w:val="00DE1273"/>
    <w:rsid w:val="00DE5BF5"/>
    <w:rsid w:val="00DE6B41"/>
    <w:rsid w:val="00DF4BD7"/>
    <w:rsid w:val="00DF768C"/>
    <w:rsid w:val="00E115EA"/>
    <w:rsid w:val="00E63E10"/>
    <w:rsid w:val="00E71B00"/>
    <w:rsid w:val="00E91988"/>
    <w:rsid w:val="00EA092C"/>
    <w:rsid w:val="00EA79B4"/>
    <w:rsid w:val="00EC0F1E"/>
    <w:rsid w:val="00EC5579"/>
    <w:rsid w:val="00ED7437"/>
    <w:rsid w:val="00EF4688"/>
    <w:rsid w:val="00F02A71"/>
    <w:rsid w:val="00F02E45"/>
    <w:rsid w:val="00F03376"/>
    <w:rsid w:val="00F061DE"/>
    <w:rsid w:val="00F15BD1"/>
    <w:rsid w:val="00F473F0"/>
    <w:rsid w:val="00F51406"/>
    <w:rsid w:val="00FA0BF3"/>
    <w:rsid w:val="00FB10F4"/>
    <w:rsid w:val="00FC7B20"/>
    <w:rsid w:val="00FD79D0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87F1"/>
  <w15:chartTrackingRefBased/>
  <w15:docId w15:val="{A036515C-DA28-45C5-87DE-B2C34EF6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9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2D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2DB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731F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9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customStyle="1" w:styleId="Default">
    <w:name w:val="Default"/>
    <w:rsid w:val="00B00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4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4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01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90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95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21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26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38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97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7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2472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06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22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159198">
                                              <w:marLeft w:val="0"/>
                                              <w:marRight w:val="9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99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7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1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292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88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A366-F220-4B81-A985-27C9C4AF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</dc:creator>
  <cp:keywords/>
  <dc:description/>
  <cp:lastModifiedBy>FLC Cgil Imperia</cp:lastModifiedBy>
  <cp:revision>2</cp:revision>
  <cp:lastPrinted>2022-06-21T06:25:00Z</cp:lastPrinted>
  <dcterms:created xsi:type="dcterms:W3CDTF">2024-10-22T08:55:00Z</dcterms:created>
  <dcterms:modified xsi:type="dcterms:W3CDTF">2024-10-22T08:55:00Z</dcterms:modified>
</cp:coreProperties>
</file>