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6595D" w14:textId="77777777" w:rsidR="002F7665" w:rsidRPr="002F7665" w:rsidRDefault="002F7665" w:rsidP="002F7665">
      <w:pPr>
        <w:spacing w:before="100" w:beforeAutospacing="1" w:after="100" w:afterAutospacing="1" w:line="240" w:lineRule="auto"/>
        <w:outlineLvl w:val="0"/>
        <w:rPr>
          <w:rFonts w:ascii="Times New Roman" w:eastAsia="Times New Roman" w:hAnsi="Times New Roman" w:cs="Times New Roman"/>
          <w:b/>
          <w:bCs/>
          <w:color w:val="FF0000"/>
          <w:kern w:val="36"/>
          <w:sz w:val="48"/>
          <w:szCs w:val="48"/>
          <w:lang w:eastAsia="it-IT"/>
        </w:rPr>
      </w:pPr>
      <w:r w:rsidRPr="002F7665">
        <w:rPr>
          <w:rFonts w:ascii="Times New Roman" w:eastAsia="Times New Roman" w:hAnsi="Times New Roman" w:cs="Times New Roman"/>
          <w:b/>
          <w:bCs/>
          <w:color w:val="FF0000"/>
          <w:kern w:val="36"/>
          <w:sz w:val="48"/>
          <w:szCs w:val="48"/>
          <w:lang w:eastAsia="it-IT"/>
        </w:rPr>
        <w:t>Decreto su esoneri e semi-esoneri dei docenti Tutor: Valditara prende le risorse anche dal taglio alla “card docenti”</w:t>
      </w:r>
    </w:p>
    <w:p w14:paraId="577F00F4" w14:textId="77777777" w:rsidR="002F7665" w:rsidRPr="002F7665" w:rsidRDefault="002F7665" w:rsidP="002F7665">
      <w:pPr>
        <w:spacing w:before="100" w:beforeAutospacing="1" w:after="100" w:afterAutospacing="1" w:line="240" w:lineRule="auto"/>
        <w:outlineLvl w:val="3"/>
        <w:rPr>
          <w:rFonts w:ascii="Times New Roman" w:eastAsia="Times New Roman" w:hAnsi="Times New Roman" w:cs="Times New Roman"/>
          <w:b/>
          <w:bCs/>
          <w:sz w:val="24"/>
          <w:szCs w:val="24"/>
          <w:lang w:eastAsia="it-IT"/>
        </w:rPr>
      </w:pPr>
      <w:r w:rsidRPr="002F7665">
        <w:rPr>
          <w:rFonts w:ascii="Times New Roman" w:eastAsia="Times New Roman" w:hAnsi="Times New Roman" w:cs="Times New Roman"/>
          <w:b/>
          <w:bCs/>
          <w:sz w:val="24"/>
          <w:szCs w:val="24"/>
          <w:lang w:eastAsia="it-IT"/>
        </w:rPr>
        <w:t>Il decreto che autorizza il contingente dei tutor per il 2024/25 era atteso da mesi. Grave il taglio di 50 milioni di euro che dal 2025 ridurrà l’entità della card docenti</w:t>
      </w:r>
    </w:p>
    <w:p w14:paraId="46B3EBCC" w14:textId="77777777" w:rsidR="002F7665" w:rsidRPr="002F7665" w:rsidRDefault="002F7665" w:rsidP="002F7665">
      <w:pPr>
        <w:spacing w:before="100" w:beforeAutospacing="1" w:after="100" w:afterAutospacing="1" w:line="240" w:lineRule="auto"/>
        <w:rPr>
          <w:rFonts w:ascii="Times New Roman" w:eastAsia="Times New Roman" w:hAnsi="Times New Roman" w:cs="Times New Roman"/>
          <w:sz w:val="24"/>
          <w:szCs w:val="24"/>
          <w:lang w:eastAsia="it-IT"/>
        </w:rPr>
      </w:pPr>
      <w:r w:rsidRPr="002F7665">
        <w:rPr>
          <w:rFonts w:ascii="Times New Roman" w:eastAsia="Times New Roman" w:hAnsi="Times New Roman" w:cs="Times New Roman"/>
          <w:sz w:val="24"/>
          <w:szCs w:val="24"/>
          <w:lang w:eastAsia="it-IT"/>
        </w:rPr>
        <w:t>Il </w:t>
      </w:r>
      <w:hyperlink r:id="rId5" w:tgtFrame="_blank" w:history="1">
        <w:r w:rsidRPr="002F7665">
          <w:rPr>
            <w:rFonts w:ascii="Times New Roman" w:eastAsia="Times New Roman" w:hAnsi="Times New Roman" w:cs="Times New Roman"/>
            <w:color w:val="0000FF"/>
            <w:sz w:val="24"/>
            <w:szCs w:val="24"/>
            <w:u w:val="single"/>
            <w:lang w:eastAsia="it-IT"/>
          </w:rPr>
          <w:t>decreto n. 243 del 3 dicembre 2024,</w:t>
        </w:r>
      </w:hyperlink>
      <w:r w:rsidRPr="002F7665">
        <w:rPr>
          <w:rFonts w:ascii="Times New Roman" w:eastAsia="Times New Roman" w:hAnsi="Times New Roman" w:cs="Times New Roman"/>
          <w:sz w:val="24"/>
          <w:szCs w:val="24"/>
          <w:lang w:eastAsia="it-IT"/>
        </w:rPr>
        <w:t> che è stato pubblicato il 7 gennaio sul sito del ministero dell’istruzione, era atteso da mesi, in quanto gli incarichi dei docenti Tutor coordinatori con esonero o semi-esonero dal servizio erano in scadenza il 31 dicembre 2024, con il conseguente rischio di interrompere le supplenze assegnate a coloro che li sostituivano nelle classi.</w:t>
      </w:r>
    </w:p>
    <w:p w14:paraId="7F69C46D" w14:textId="77777777" w:rsidR="002F7665" w:rsidRPr="002F7665" w:rsidRDefault="002F7665" w:rsidP="002F7665">
      <w:pPr>
        <w:spacing w:before="100" w:beforeAutospacing="1" w:after="100" w:afterAutospacing="1" w:line="240" w:lineRule="auto"/>
        <w:rPr>
          <w:rFonts w:ascii="Times New Roman" w:eastAsia="Times New Roman" w:hAnsi="Times New Roman" w:cs="Times New Roman"/>
          <w:sz w:val="24"/>
          <w:szCs w:val="24"/>
          <w:lang w:eastAsia="it-IT"/>
        </w:rPr>
      </w:pPr>
      <w:r w:rsidRPr="002F7665">
        <w:rPr>
          <w:rFonts w:ascii="Times New Roman" w:eastAsia="Times New Roman" w:hAnsi="Times New Roman" w:cs="Times New Roman"/>
          <w:sz w:val="24"/>
          <w:szCs w:val="24"/>
          <w:lang w:eastAsia="it-IT"/>
        </w:rPr>
        <w:t>La criticità nasce dal disallineamento tra anno scolastico e tempi di attribuzione degli esoneri connessi alle funzioni dei Tutor coordinatori dei corsi abilitanti e dalla marcata lentezza con cui i due ministeri coinvolti, Istruzione e Università, emanano i provvedimenti, sempre a ridosso delle scadenze. Il disagio ricade quindi sul personale delle scuole e sugli studenti, che perdono la continuità didattica.</w:t>
      </w:r>
    </w:p>
    <w:p w14:paraId="17A18934" w14:textId="77777777" w:rsidR="002F7665" w:rsidRPr="002F7665" w:rsidRDefault="002F7665" w:rsidP="002F7665">
      <w:pPr>
        <w:spacing w:before="100" w:beforeAutospacing="1" w:after="100" w:afterAutospacing="1" w:line="240" w:lineRule="auto"/>
        <w:rPr>
          <w:rFonts w:ascii="Times New Roman" w:eastAsia="Times New Roman" w:hAnsi="Times New Roman" w:cs="Times New Roman"/>
          <w:sz w:val="24"/>
          <w:szCs w:val="24"/>
          <w:lang w:eastAsia="it-IT"/>
        </w:rPr>
      </w:pPr>
      <w:r w:rsidRPr="002F7665">
        <w:rPr>
          <w:rFonts w:ascii="Times New Roman" w:eastAsia="Times New Roman" w:hAnsi="Times New Roman" w:cs="Times New Roman"/>
          <w:sz w:val="24"/>
          <w:szCs w:val="24"/>
          <w:lang w:eastAsia="it-IT"/>
        </w:rPr>
        <w:t xml:space="preserve">L’emanazione del decreto ci consegna un altro grave “pacco di natale” per i docenti della scuola: a partire dal 2025 </w:t>
      </w:r>
      <w:r w:rsidRPr="002F7665">
        <w:rPr>
          <w:rFonts w:ascii="Times New Roman" w:eastAsia="Times New Roman" w:hAnsi="Times New Roman" w:cs="Times New Roman"/>
          <w:b/>
          <w:bCs/>
          <w:sz w:val="24"/>
          <w:szCs w:val="24"/>
          <w:lang w:eastAsia="it-IT"/>
        </w:rPr>
        <w:t>le risorse per finanziare gli esoneri dei tutor vengono prese nella misura di 50 milioni di euro dai fondi destinati alla card docenti</w:t>
      </w:r>
      <w:r w:rsidRPr="002F7665">
        <w:rPr>
          <w:rFonts w:ascii="Times New Roman" w:eastAsia="Times New Roman" w:hAnsi="Times New Roman" w:cs="Times New Roman"/>
          <w:sz w:val="24"/>
          <w:szCs w:val="24"/>
          <w:lang w:eastAsia="it-IT"/>
        </w:rPr>
        <w:t>, che di conseguenza subirà una decurtazione rispetto ai 500 euro previsti.</w:t>
      </w:r>
    </w:p>
    <w:p w14:paraId="2B195041" w14:textId="77777777" w:rsidR="002F7665" w:rsidRPr="002F7665" w:rsidRDefault="002F7665" w:rsidP="002F7665">
      <w:pPr>
        <w:spacing w:before="100" w:beforeAutospacing="1" w:after="100" w:afterAutospacing="1" w:line="240" w:lineRule="auto"/>
        <w:rPr>
          <w:rFonts w:ascii="Times New Roman" w:eastAsia="Times New Roman" w:hAnsi="Times New Roman" w:cs="Times New Roman"/>
          <w:sz w:val="24"/>
          <w:szCs w:val="24"/>
          <w:lang w:eastAsia="it-IT"/>
        </w:rPr>
      </w:pPr>
      <w:r w:rsidRPr="002F7665">
        <w:rPr>
          <w:rFonts w:ascii="Times New Roman" w:eastAsia="Times New Roman" w:hAnsi="Times New Roman" w:cs="Times New Roman"/>
          <w:sz w:val="24"/>
          <w:szCs w:val="24"/>
          <w:lang w:eastAsia="it-IT"/>
        </w:rPr>
        <w:t>La conferma della possibile riduzione dell’importo assegnato nominalmente a ciascun docente la troviamo nella </w:t>
      </w:r>
      <w:hyperlink r:id="rId6" w:tgtFrame="_blank" w:history="1">
        <w:r w:rsidRPr="002F7665">
          <w:rPr>
            <w:rFonts w:ascii="Times New Roman" w:eastAsia="Times New Roman" w:hAnsi="Times New Roman" w:cs="Times New Roman"/>
            <w:color w:val="0000FF"/>
            <w:sz w:val="24"/>
            <w:szCs w:val="24"/>
            <w:u w:val="single"/>
            <w:lang w:eastAsia="it-IT"/>
          </w:rPr>
          <w:t>Legge di Bilancio 2025</w:t>
        </w:r>
      </w:hyperlink>
      <w:r w:rsidRPr="002F7665">
        <w:rPr>
          <w:rFonts w:ascii="Times New Roman" w:eastAsia="Times New Roman" w:hAnsi="Times New Roman" w:cs="Times New Roman"/>
          <w:sz w:val="24"/>
          <w:szCs w:val="24"/>
          <w:lang w:eastAsia="it-IT"/>
        </w:rPr>
        <w:t>, la Legge n. 207 del 30 dicembre 2024, che al comma 572 sostituisce la somma di 500 euro l’anno con un importo che arriva “fino a 500 euro” e che quindi può anche essere inferiore.</w:t>
      </w:r>
    </w:p>
    <w:p w14:paraId="4F4D2349" w14:textId="77777777" w:rsidR="00BB2B4F" w:rsidRDefault="002F7665" w:rsidP="00BB2B4F">
      <w:pPr>
        <w:spacing w:before="100" w:beforeAutospacing="1" w:after="100" w:afterAutospacing="1" w:line="240" w:lineRule="auto"/>
        <w:rPr>
          <w:rFonts w:ascii="Times New Roman" w:eastAsia="Times New Roman" w:hAnsi="Times New Roman" w:cs="Times New Roman"/>
          <w:sz w:val="24"/>
          <w:szCs w:val="24"/>
          <w:lang w:eastAsia="it-IT"/>
        </w:rPr>
      </w:pPr>
      <w:r w:rsidRPr="002F7665">
        <w:rPr>
          <w:rFonts w:ascii="Times New Roman" w:eastAsia="Times New Roman" w:hAnsi="Times New Roman" w:cs="Times New Roman"/>
          <w:sz w:val="24"/>
          <w:szCs w:val="24"/>
          <w:lang w:eastAsia="it-IT"/>
        </w:rPr>
        <w:t>Come FLC CGIL torniamo quindi a denunciare con forza la sottrazione di risorse che sta subendo il settore dell’istruzione da parte di questo governo e di questo Ministro.</w:t>
      </w:r>
    </w:p>
    <w:p w14:paraId="03D7FCE0" w14:textId="2CE45993" w:rsidR="002F7665" w:rsidRPr="00BB2B4F" w:rsidRDefault="002F7665" w:rsidP="00BB2B4F">
      <w:pPr>
        <w:spacing w:before="100" w:beforeAutospacing="1" w:after="100" w:afterAutospacing="1" w:line="240" w:lineRule="auto"/>
        <w:rPr>
          <w:rFonts w:ascii="Times New Roman" w:eastAsia="Times New Roman" w:hAnsi="Times New Roman" w:cs="Times New Roman"/>
          <w:sz w:val="24"/>
          <w:szCs w:val="24"/>
          <w:lang w:eastAsia="it-IT"/>
        </w:rPr>
      </w:pPr>
      <w:r w:rsidRPr="002F7665">
        <w:rPr>
          <w:rFonts w:ascii="Times New Roman" w:eastAsia="Times New Roman" w:hAnsi="Times New Roman" w:cs="Times New Roman"/>
          <w:b/>
          <w:bCs/>
          <w:color w:val="FF0000"/>
          <w:kern w:val="36"/>
          <w:sz w:val="48"/>
          <w:szCs w:val="48"/>
          <w:lang w:eastAsia="it-IT"/>
        </w:rPr>
        <w:t>Sperimentazioni quadriennali della filiera e delibere collegiali: tra le forzature si nega anche l’evidenza</w:t>
      </w:r>
    </w:p>
    <w:p w14:paraId="100CDF51" w14:textId="77777777" w:rsidR="002F7665" w:rsidRPr="002F7665" w:rsidRDefault="002F7665" w:rsidP="002F7665">
      <w:pPr>
        <w:spacing w:before="100" w:beforeAutospacing="1" w:after="100" w:afterAutospacing="1" w:line="240" w:lineRule="auto"/>
        <w:outlineLvl w:val="3"/>
        <w:rPr>
          <w:rFonts w:ascii="Times New Roman" w:eastAsia="Times New Roman" w:hAnsi="Times New Roman" w:cs="Times New Roman"/>
          <w:b/>
          <w:bCs/>
          <w:sz w:val="24"/>
          <w:szCs w:val="24"/>
          <w:lang w:eastAsia="it-IT"/>
        </w:rPr>
      </w:pPr>
      <w:r w:rsidRPr="002F7665">
        <w:rPr>
          <w:rFonts w:ascii="Times New Roman" w:eastAsia="Times New Roman" w:hAnsi="Times New Roman" w:cs="Times New Roman"/>
          <w:b/>
          <w:bCs/>
          <w:sz w:val="24"/>
          <w:szCs w:val="24"/>
          <w:lang w:eastAsia="it-IT"/>
        </w:rPr>
        <w:t>Tra le pressioni sugli organi collegiali e la costituzione di gruppi di lavoro per gli istituti nautici, si arriva perfino a negare la sperimentazione e la quadriennalità previste nel DM 256/24</w:t>
      </w:r>
    </w:p>
    <w:p w14:paraId="58DFD3E8" w14:textId="77777777" w:rsidR="002F7665" w:rsidRPr="002F7665" w:rsidRDefault="002F7665" w:rsidP="002F7665">
      <w:pPr>
        <w:spacing w:after="0" w:line="240" w:lineRule="auto"/>
        <w:rPr>
          <w:rFonts w:ascii="Times New Roman" w:eastAsia="Times New Roman" w:hAnsi="Times New Roman" w:cs="Times New Roman"/>
          <w:sz w:val="24"/>
          <w:szCs w:val="24"/>
          <w:lang w:eastAsia="it-IT"/>
        </w:rPr>
      </w:pPr>
      <w:r w:rsidRPr="002F7665">
        <w:rPr>
          <w:rFonts w:ascii="Times New Roman" w:eastAsia="Times New Roman" w:hAnsi="Times New Roman" w:cs="Times New Roman"/>
          <w:b/>
          <w:bCs/>
          <w:sz w:val="24"/>
          <w:szCs w:val="24"/>
          <w:lang w:eastAsia="it-IT"/>
        </w:rPr>
        <w:t>14/01/2025</w:t>
      </w:r>
      <w:r w:rsidRPr="002F7665">
        <w:rPr>
          <w:rFonts w:ascii="Times New Roman" w:eastAsia="Times New Roman" w:hAnsi="Times New Roman" w:cs="Times New Roman"/>
          <w:sz w:val="24"/>
          <w:szCs w:val="24"/>
          <w:lang w:eastAsia="it-IT"/>
        </w:rPr>
        <w:t xml:space="preserve"> </w:t>
      </w:r>
    </w:p>
    <w:p w14:paraId="1DD14EF0" w14:textId="77777777" w:rsidR="002F7665" w:rsidRPr="002F7665" w:rsidRDefault="002F7665" w:rsidP="002F7665">
      <w:pPr>
        <w:spacing w:before="100" w:beforeAutospacing="1" w:after="100" w:afterAutospacing="1" w:line="240" w:lineRule="auto"/>
        <w:rPr>
          <w:rFonts w:ascii="Times New Roman" w:eastAsia="Times New Roman" w:hAnsi="Times New Roman" w:cs="Times New Roman"/>
          <w:sz w:val="24"/>
          <w:szCs w:val="24"/>
          <w:lang w:eastAsia="it-IT"/>
        </w:rPr>
      </w:pPr>
      <w:r w:rsidRPr="002F7665">
        <w:rPr>
          <w:rFonts w:ascii="Times New Roman" w:eastAsia="Times New Roman" w:hAnsi="Times New Roman" w:cs="Times New Roman"/>
          <w:sz w:val="24"/>
          <w:szCs w:val="24"/>
          <w:lang w:eastAsia="it-IT"/>
        </w:rPr>
        <w:t xml:space="preserve">Anche per la fase di preparazione alle iscrizioni per l’anno scolastico 2025/2026, vengono segnalati </w:t>
      </w:r>
      <w:r w:rsidRPr="002F7665">
        <w:rPr>
          <w:rFonts w:ascii="Times New Roman" w:eastAsia="Times New Roman" w:hAnsi="Times New Roman" w:cs="Times New Roman"/>
          <w:b/>
          <w:bCs/>
          <w:sz w:val="24"/>
          <w:szCs w:val="24"/>
          <w:lang w:eastAsia="it-IT"/>
        </w:rPr>
        <w:t>casi di contrapposizione tra delibere dei collegi docenti</w:t>
      </w:r>
      <w:r w:rsidRPr="002F7665">
        <w:rPr>
          <w:rFonts w:ascii="Times New Roman" w:eastAsia="Times New Roman" w:hAnsi="Times New Roman" w:cs="Times New Roman"/>
          <w:sz w:val="24"/>
          <w:szCs w:val="24"/>
          <w:lang w:eastAsia="it-IT"/>
        </w:rPr>
        <w:t xml:space="preserve">, che bocciano la proposta di attivazione della sperimentazione della filiera formativa tecnologico professionale </w:t>
      </w:r>
      <w:r w:rsidRPr="002F7665">
        <w:rPr>
          <w:rFonts w:ascii="Times New Roman" w:eastAsia="Times New Roman" w:hAnsi="Times New Roman" w:cs="Times New Roman"/>
          <w:b/>
          <w:bCs/>
          <w:sz w:val="24"/>
          <w:szCs w:val="24"/>
          <w:lang w:eastAsia="it-IT"/>
        </w:rPr>
        <w:t xml:space="preserve">e delibere dei consigli di istituto </w:t>
      </w:r>
      <w:r w:rsidRPr="002F7665">
        <w:rPr>
          <w:rFonts w:ascii="Times New Roman" w:eastAsia="Times New Roman" w:hAnsi="Times New Roman" w:cs="Times New Roman"/>
          <w:sz w:val="24"/>
          <w:szCs w:val="24"/>
          <w:lang w:eastAsia="it-IT"/>
        </w:rPr>
        <w:t xml:space="preserve">che, al contrario, le approvano. Tale contrapposizione è spesso sostenuta da alcuni dirigenti </w:t>
      </w:r>
      <w:r w:rsidRPr="002F7665">
        <w:rPr>
          <w:rFonts w:ascii="Times New Roman" w:eastAsia="Times New Roman" w:hAnsi="Times New Roman" w:cs="Times New Roman"/>
          <w:sz w:val="24"/>
          <w:szCs w:val="24"/>
          <w:lang w:eastAsia="it-IT"/>
        </w:rPr>
        <w:lastRenderedPageBreak/>
        <w:t xml:space="preserve">scolastici intenzionati a forzare la decisione contraria dei collegi rispetto al progetto quadriennale della filiera. Pertanto, </w:t>
      </w:r>
      <w:r w:rsidRPr="002F7665">
        <w:rPr>
          <w:rFonts w:ascii="Times New Roman" w:eastAsia="Times New Roman" w:hAnsi="Times New Roman" w:cs="Times New Roman"/>
          <w:b/>
          <w:bCs/>
          <w:sz w:val="24"/>
          <w:szCs w:val="24"/>
          <w:lang w:eastAsia="it-IT"/>
        </w:rPr>
        <w:t xml:space="preserve">facciamo presente che il </w:t>
      </w:r>
      <w:hyperlink r:id="rId7" w:history="1">
        <w:r w:rsidRPr="002F7665">
          <w:rPr>
            <w:rFonts w:ascii="Times New Roman" w:eastAsia="Times New Roman" w:hAnsi="Times New Roman" w:cs="Times New Roman"/>
            <w:b/>
            <w:bCs/>
            <w:color w:val="0000FF"/>
            <w:sz w:val="24"/>
            <w:szCs w:val="24"/>
            <w:u w:val="single"/>
            <w:lang w:eastAsia="it-IT"/>
          </w:rPr>
          <w:t>DM 256 del 16 dicembre 2024</w:t>
        </w:r>
      </w:hyperlink>
      <w:r w:rsidRPr="002F7665">
        <w:rPr>
          <w:rFonts w:ascii="Times New Roman" w:eastAsia="Times New Roman" w:hAnsi="Times New Roman" w:cs="Times New Roman"/>
          <w:b/>
          <w:bCs/>
          <w:sz w:val="24"/>
          <w:szCs w:val="24"/>
          <w:lang w:eastAsia="it-IT"/>
        </w:rPr>
        <w:t xml:space="preserve"> prevede (art. 5 comma 2) che la candidatura delle istituzioni scolastiche avvenga previa deliberazione degli organi collegiali competenti </w:t>
      </w:r>
      <w:r w:rsidRPr="002F7665">
        <w:rPr>
          <w:rFonts w:ascii="Times New Roman" w:eastAsia="Times New Roman" w:hAnsi="Times New Roman" w:cs="Times New Roman"/>
          <w:sz w:val="24"/>
          <w:szCs w:val="24"/>
          <w:lang w:eastAsia="it-IT"/>
        </w:rPr>
        <w:t xml:space="preserve">per cui, a nostro avviso, non solo non è data la possibilità che il Consiglio di istituto bocci unilateralmente il contenuto di una delibera di un altro organo collegiale, ma, a nostro avviso, il parere contrario del collegio docenti è, di per sé, condizione sufficiente per invalidare la richiesta di adesione al progetto. A tal riguardo la FLC CGIL intende vigilare a che tali condizioni siano state effettivamente rispettate senza escludere, laddove si ravvisasse la necessità, una rinnovata richiesta di accesso agli atti, </w:t>
      </w:r>
      <w:hyperlink r:id="rId8" w:history="1">
        <w:r w:rsidRPr="002F7665">
          <w:rPr>
            <w:rFonts w:ascii="Times New Roman" w:eastAsia="Times New Roman" w:hAnsi="Times New Roman" w:cs="Times New Roman"/>
            <w:color w:val="0000FF"/>
            <w:sz w:val="24"/>
            <w:szCs w:val="24"/>
            <w:u w:val="single"/>
            <w:lang w:eastAsia="it-IT"/>
          </w:rPr>
          <w:t>come già accaduto in passato</w:t>
        </w:r>
      </w:hyperlink>
      <w:r w:rsidRPr="002F7665">
        <w:rPr>
          <w:rFonts w:ascii="Times New Roman" w:eastAsia="Times New Roman" w:hAnsi="Times New Roman" w:cs="Times New Roman"/>
          <w:sz w:val="24"/>
          <w:szCs w:val="24"/>
          <w:lang w:eastAsia="it-IT"/>
        </w:rPr>
        <w:t>.</w:t>
      </w:r>
    </w:p>
    <w:p w14:paraId="01CE16FF" w14:textId="77777777" w:rsidR="002F7665" w:rsidRPr="002F7665" w:rsidRDefault="002F7665" w:rsidP="002F7665">
      <w:pPr>
        <w:spacing w:before="100" w:beforeAutospacing="1" w:after="100" w:afterAutospacing="1" w:line="240" w:lineRule="auto"/>
        <w:rPr>
          <w:rFonts w:ascii="Times New Roman" w:eastAsia="Times New Roman" w:hAnsi="Times New Roman" w:cs="Times New Roman"/>
          <w:sz w:val="24"/>
          <w:szCs w:val="24"/>
          <w:lang w:eastAsia="it-IT"/>
        </w:rPr>
      </w:pPr>
      <w:r w:rsidRPr="002F7665">
        <w:rPr>
          <w:rFonts w:ascii="Times New Roman" w:eastAsia="Times New Roman" w:hAnsi="Times New Roman" w:cs="Times New Roman"/>
          <w:sz w:val="24"/>
          <w:szCs w:val="24"/>
          <w:lang w:eastAsia="it-IT"/>
        </w:rPr>
        <w:t xml:space="preserve">Ci risulta, inoltre, che </w:t>
      </w:r>
      <w:r w:rsidRPr="002F7665">
        <w:rPr>
          <w:rFonts w:ascii="Times New Roman" w:eastAsia="Times New Roman" w:hAnsi="Times New Roman" w:cs="Times New Roman"/>
          <w:b/>
          <w:bCs/>
          <w:sz w:val="24"/>
          <w:szCs w:val="24"/>
          <w:lang w:eastAsia="it-IT"/>
        </w:rPr>
        <w:t>per l’attivazione della filiera formativa tecnologico-professionale negli istituti nautici</w:t>
      </w:r>
      <w:r w:rsidRPr="002F7665">
        <w:rPr>
          <w:rFonts w:ascii="Times New Roman" w:eastAsia="Times New Roman" w:hAnsi="Times New Roman" w:cs="Times New Roman"/>
          <w:sz w:val="24"/>
          <w:szCs w:val="24"/>
          <w:lang w:eastAsia="it-IT"/>
        </w:rPr>
        <w:t xml:space="preserve"> a seguito di incontri a livello ministeriale, </w:t>
      </w:r>
      <w:r w:rsidRPr="002F7665">
        <w:rPr>
          <w:rFonts w:ascii="Times New Roman" w:eastAsia="Times New Roman" w:hAnsi="Times New Roman" w:cs="Times New Roman"/>
          <w:b/>
          <w:bCs/>
          <w:sz w:val="24"/>
          <w:szCs w:val="24"/>
          <w:lang w:eastAsia="it-IT"/>
        </w:rPr>
        <w:t xml:space="preserve">il 9 gennaio 2025 la Rete Nazionale dei Nautici (RENA) ha proposto nuovi gruppi di lavoro </w:t>
      </w:r>
      <w:r w:rsidRPr="002F7665">
        <w:rPr>
          <w:rFonts w:ascii="Times New Roman" w:eastAsia="Times New Roman" w:hAnsi="Times New Roman" w:cs="Times New Roman"/>
          <w:sz w:val="24"/>
          <w:szCs w:val="24"/>
          <w:lang w:eastAsia="it-IT"/>
        </w:rPr>
        <w:t xml:space="preserve">costituiti da docenti o anche da Dirigenti Scolastici. La segnalazione avviene tramite presentazione del Curriculum Vitae, che evidenzi le competenze acquisite nel settore e la compilazione di un Modulo Google. </w:t>
      </w:r>
      <w:r w:rsidRPr="002F7665">
        <w:rPr>
          <w:rFonts w:ascii="Times New Roman" w:eastAsia="Times New Roman" w:hAnsi="Times New Roman" w:cs="Times New Roman"/>
          <w:b/>
          <w:bCs/>
          <w:sz w:val="24"/>
          <w:szCs w:val="24"/>
          <w:lang w:eastAsia="it-IT"/>
        </w:rPr>
        <w:t>Ancora una volta si sottopongono, anche ai docenti dei Nautici, adempimenti con tempi ristretti e con un’impostazione che lascia intendere la necessità del passaggio dai percorsi quinquennali ordinamentali ai percorsi quadriennali sperimentali.</w:t>
      </w:r>
    </w:p>
    <w:p w14:paraId="5A54E4E4" w14:textId="77777777" w:rsidR="002F7665" w:rsidRPr="002F7665" w:rsidRDefault="002F7665" w:rsidP="002F7665">
      <w:pPr>
        <w:spacing w:before="100" w:beforeAutospacing="1" w:after="100" w:afterAutospacing="1" w:line="240" w:lineRule="auto"/>
        <w:rPr>
          <w:rFonts w:ascii="Times New Roman" w:eastAsia="Times New Roman" w:hAnsi="Times New Roman" w:cs="Times New Roman"/>
          <w:sz w:val="24"/>
          <w:szCs w:val="24"/>
          <w:lang w:eastAsia="it-IT"/>
        </w:rPr>
      </w:pPr>
      <w:r w:rsidRPr="002F7665">
        <w:rPr>
          <w:rFonts w:ascii="Times New Roman" w:eastAsia="Times New Roman" w:hAnsi="Times New Roman" w:cs="Times New Roman"/>
          <w:sz w:val="24"/>
          <w:szCs w:val="24"/>
          <w:lang w:eastAsia="it-IT"/>
        </w:rPr>
        <w:t xml:space="preserve">Infine, occorre precisare che </w:t>
      </w:r>
      <w:r w:rsidRPr="002F7665">
        <w:rPr>
          <w:rFonts w:ascii="Times New Roman" w:eastAsia="Times New Roman" w:hAnsi="Times New Roman" w:cs="Times New Roman"/>
          <w:b/>
          <w:bCs/>
          <w:sz w:val="24"/>
          <w:szCs w:val="24"/>
          <w:lang w:eastAsia="it-IT"/>
        </w:rPr>
        <w:t>autorevoli rappresentanti dell’Amministrazione sono giunti a negare a mezzo stampa che si tratti di percorsi sperimentali, né tantomeno quadriennali</w:t>
      </w:r>
      <w:r w:rsidRPr="002F7665">
        <w:rPr>
          <w:rFonts w:ascii="Times New Roman" w:eastAsia="Times New Roman" w:hAnsi="Times New Roman" w:cs="Times New Roman"/>
          <w:sz w:val="24"/>
          <w:szCs w:val="24"/>
          <w:lang w:eastAsia="it-IT"/>
        </w:rPr>
        <w:t xml:space="preserve">. Tale affermazione appare in evidente contraddizione con quanto riportato dal testo del </w:t>
      </w:r>
      <w:r w:rsidRPr="002F7665">
        <w:rPr>
          <w:rFonts w:ascii="Times New Roman" w:eastAsia="Times New Roman" w:hAnsi="Times New Roman" w:cs="Times New Roman"/>
          <w:b/>
          <w:bCs/>
          <w:sz w:val="24"/>
          <w:szCs w:val="24"/>
          <w:lang w:eastAsia="it-IT"/>
        </w:rPr>
        <w:t>DM 256/24</w:t>
      </w:r>
      <w:r w:rsidRPr="002F7665">
        <w:rPr>
          <w:rFonts w:ascii="Times New Roman" w:eastAsia="Times New Roman" w:hAnsi="Times New Roman" w:cs="Times New Roman"/>
          <w:sz w:val="24"/>
          <w:szCs w:val="24"/>
          <w:lang w:eastAsia="it-IT"/>
        </w:rPr>
        <w:t>, di cui si dimentica l’esatta denominazione: "</w:t>
      </w:r>
      <w:r w:rsidRPr="002F7665">
        <w:rPr>
          <w:rFonts w:ascii="Times New Roman" w:eastAsia="Times New Roman" w:hAnsi="Times New Roman" w:cs="Times New Roman"/>
          <w:i/>
          <w:iCs/>
          <w:sz w:val="24"/>
          <w:szCs w:val="24"/>
          <w:lang w:eastAsia="it-IT"/>
        </w:rPr>
        <w:t>Decreto concernente l’attivazione dei percorsi </w:t>
      </w:r>
      <w:r w:rsidRPr="002F7665">
        <w:rPr>
          <w:rFonts w:ascii="Times New Roman" w:eastAsia="Times New Roman" w:hAnsi="Times New Roman" w:cs="Times New Roman"/>
          <w:b/>
          <w:bCs/>
          <w:i/>
          <w:iCs/>
          <w:sz w:val="24"/>
          <w:szCs w:val="24"/>
          <w:lang w:eastAsia="it-IT"/>
        </w:rPr>
        <w:t>sperimentali </w:t>
      </w:r>
      <w:r w:rsidRPr="002F7665">
        <w:rPr>
          <w:rFonts w:ascii="Times New Roman" w:eastAsia="Times New Roman" w:hAnsi="Times New Roman" w:cs="Times New Roman"/>
          <w:i/>
          <w:iCs/>
          <w:sz w:val="24"/>
          <w:szCs w:val="24"/>
          <w:lang w:eastAsia="it-IT"/>
        </w:rPr>
        <w:t xml:space="preserve">di istruzione di secondo ciclo nell’ambito </w:t>
      </w:r>
      <w:proofErr w:type="gramStart"/>
      <w:r w:rsidRPr="002F7665">
        <w:rPr>
          <w:rFonts w:ascii="Times New Roman" w:eastAsia="Times New Roman" w:hAnsi="Times New Roman" w:cs="Times New Roman"/>
          <w:i/>
          <w:iCs/>
          <w:sz w:val="24"/>
          <w:szCs w:val="24"/>
          <w:lang w:eastAsia="it-IT"/>
        </w:rPr>
        <w:t>della  filiera</w:t>
      </w:r>
      <w:proofErr w:type="gramEnd"/>
      <w:r w:rsidRPr="002F7665">
        <w:rPr>
          <w:rFonts w:ascii="Times New Roman" w:eastAsia="Times New Roman" w:hAnsi="Times New Roman" w:cs="Times New Roman"/>
          <w:i/>
          <w:iCs/>
          <w:sz w:val="24"/>
          <w:szCs w:val="24"/>
          <w:lang w:eastAsia="it-IT"/>
        </w:rPr>
        <w:t xml:space="preserve">  formativa  tecnologico-professionale per l’anno scolastico e formativo 2025/2026 in attuazione dell’articolo 25 bis, comma 2, del decreto-legge 23 settembre 2022 n.144, convertito con modificazioni dalla legge 17  novembre  2022,  n.  175, introdotto dall’articolo 1, comma 1, della legge 8 agosto 2024, n. 121</w:t>
      </w:r>
      <w:r w:rsidRPr="002F7665">
        <w:rPr>
          <w:rFonts w:ascii="Times New Roman" w:eastAsia="Times New Roman" w:hAnsi="Times New Roman" w:cs="Times New Roman"/>
          <w:sz w:val="24"/>
          <w:szCs w:val="24"/>
          <w:lang w:eastAsia="it-IT"/>
        </w:rPr>
        <w:t xml:space="preserve">". Lo stesso decreto, all’articolo 1, recita: </w:t>
      </w:r>
      <w:r w:rsidRPr="002F7665">
        <w:rPr>
          <w:rFonts w:ascii="Times New Roman" w:eastAsia="Times New Roman" w:hAnsi="Times New Roman" w:cs="Times New Roman"/>
          <w:i/>
          <w:iCs/>
          <w:sz w:val="24"/>
          <w:szCs w:val="24"/>
          <w:lang w:eastAsia="it-IT"/>
        </w:rPr>
        <w:t>"...il Ministero dell’istruzione e del merito promuove, (...) l’attivazione di </w:t>
      </w:r>
      <w:r w:rsidRPr="002F7665">
        <w:rPr>
          <w:rFonts w:ascii="Times New Roman" w:eastAsia="Times New Roman" w:hAnsi="Times New Roman" w:cs="Times New Roman"/>
          <w:b/>
          <w:bCs/>
          <w:i/>
          <w:iCs/>
          <w:sz w:val="24"/>
          <w:szCs w:val="24"/>
          <w:lang w:eastAsia="it-IT"/>
        </w:rPr>
        <w:t>nuovi percorsi quadriennali sperimentali </w:t>
      </w:r>
      <w:r w:rsidRPr="002F7665">
        <w:rPr>
          <w:rFonts w:ascii="Times New Roman" w:eastAsia="Times New Roman" w:hAnsi="Times New Roman" w:cs="Times New Roman"/>
          <w:i/>
          <w:iCs/>
          <w:sz w:val="24"/>
          <w:szCs w:val="24"/>
          <w:lang w:eastAsia="it-IT"/>
        </w:rPr>
        <w:t xml:space="preserve">inerenti </w:t>
      </w:r>
      <w:proofErr w:type="gramStart"/>
      <w:r w:rsidRPr="002F7665">
        <w:rPr>
          <w:rFonts w:ascii="Times New Roman" w:eastAsia="Times New Roman" w:hAnsi="Times New Roman" w:cs="Times New Roman"/>
          <w:i/>
          <w:iCs/>
          <w:sz w:val="24"/>
          <w:szCs w:val="24"/>
          <w:lang w:eastAsia="it-IT"/>
        </w:rPr>
        <w:t>la</w:t>
      </w:r>
      <w:proofErr w:type="gramEnd"/>
      <w:r w:rsidRPr="002F7665">
        <w:rPr>
          <w:rFonts w:ascii="Times New Roman" w:eastAsia="Times New Roman" w:hAnsi="Times New Roman" w:cs="Times New Roman"/>
          <w:i/>
          <w:iCs/>
          <w:sz w:val="24"/>
          <w:szCs w:val="24"/>
          <w:lang w:eastAsia="it-IT"/>
        </w:rPr>
        <w:t xml:space="preserve"> filiera formativa tecnologico professionale per l’anno scolastico 2025/2026</w:t>
      </w:r>
      <w:r w:rsidRPr="002F7665">
        <w:rPr>
          <w:rFonts w:ascii="Times New Roman" w:eastAsia="Times New Roman" w:hAnsi="Times New Roman" w:cs="Times New Roman"/>
          <w:sz w:val="24"/>
          <w:szCs w:val="24"/>
          <w:lang w:eastAsia="it-IT"/>
        </w:rPr>
        <w:t xml:space="preserve">". Appare evidente </w:t>
      </w:r>
      <w:r w:rsidRPr="002F7665">
        <w:rPr>
          <w:rFonts w:ascii="Times New Roman" w:eastAsia="Times New Roman" w:hAnsi="Times New Roman" w:cs="Times New Roman"/>
          <w:b/>
          <w:bCs/>
          <w:sz w:val="24"/>
          <w:szCs w:val="24"/>
          <w:lang w:eastAsia="it-IT"/>
        </w:rPr>
        <w:t>che il ministero intende evitare l’uso dei termini che, nei fatti, esprimono le reali conseguenze del progetto legato alla Filiera tecnologico professionale</w:t>
      </w:r>
      <w:r w:rsidRPr="002F7665">
        <w:rPr>
          <w:rFonts w:ascii="Times New Roman" w:eastAsia="Times New Roman" w:hAnsi="Times New Roman" w:cs="Times New Roman"/>
          <w:sz w:val="24"/>
          <w:szCs w:val="24"/>
          <w:lang w:eastAsia="it-IT"/>
        </w:rPr>
        <w:t>: fa intendere che si tratti di percorsi già ordinamentali, mentre in realtà gli organi collegiali sono i soli soggetti chiamati a decidere se sperimentarli o meno e maschera, con la formale addizione “4+2”, la diminuzione dei percorsi scolastici da cinque a quattro anni, il che rappresenta una minore qualità dell’intero sistema di istruzione secondaria.</w:t>
      </w:r>
    </w:p>
    <w:p w14:paraId="05DDD7C6" w14:textId="77777777" w:rsidR="002F7665" w:rsidRDefault="002F7665" w:rsidP="002F7665">
      <w:pPr>
        <w:spacing w:before="100" w:beforeAutospacing="1" w:after="100" w:afterAutospacing="1" w:line="240" w:lineRule="auto"/>
        <w:rPr>
          <w:rFonts w:ascii="Times New Roman" w:eastAsia="Times New Roman" w:hAnsi="Times New Roman" w:cs="Times New Roman"/>
          <w:b/>
          <w:bCs/>
          <w:sz w:val="24"/>
          <w:szCs w:val="24"/>
          <w:lang w:eastAsia="it-IT"/>
        </w:rPr>
      </w:pPr>
      <w:r w:rsidRPr="000B73BC">
        <w:rPr>
          <w:rFonts w:ascii="Times New Roman" w:eastAsia="Times New Roman" w:hAnsi="Times New Roman" w:cs="Times New Roman"/>
          <w:b/>
          <w:bCs/>
          <w:sz w:val="24"/>
          <w:szCs w:val="24"/>
          <w:lang w:eastAsia="it-IT"/>
        </w:rPr>
        <w:t>La FLC CGIL rimane accanto alle comunità educanti</w:t>
      </w:r>
      <w:r w:rsidRPr="000B73BC">
        <w:rPr>
          <w:rFonts w:ascii="Times New Roman" w:eastAsia="Times New Roman" w:hAnsi="Times New Roman" w:cs="Times New Roman"/>
          <w:sz w:val="24"/>
          <w:szCs w:val="24"/>
          <w:lang w:eastAsia="it-IT"/>
        </w:rPr>
        <w:t> che ogni giorno si spendono per salvaguardare il valore formativo della nostra scuola e che deliberano contro questo formidabile attacco ai diritti di chi apprende </w:t>
      </w:r>
      <w:r w:rsidRPr="000B73BC">
        <w:rPr>
          <w:rFonts w:ascii="Times New Roman" w:eastAsia="Times New Roman" w:hAnsi="Times New Roman" w:cs="Times New Roman"/>
          <w:b/>
          <w:bCs/>
          <w:sz w:val="24"/>
          <w:szCs w:val="24"/>
          <w:lang w:eastAsia="it-IT"/>
        </w:rPr>
        <w:t>e, insieme a queste comunità, prosegue la propria battaglia per la trasparenza e la correttezza delle operazioni nel rispetto della democrazia e delle prerogative degli organi collegiali</w:t>
      </w:r>
      <w:r w:rsidRPr="002F7665">
        <w:rPr>
          <w:rFonts w:ascii="Times New Roman" w:eastAsia="Times New Roman" w:hAnsi="Times New Roman" w:cs="Times New Roman"/>
          <w:b/>
          <w:bCs/>
          <w:sz w:val="24"/>
          <w:szCs w:val="24"/>
          <w:lang w:eastAsia="it-IT"/>
        </w:rPr>
        <w:t>.</w:t>
      </w:r>
    </w:p>
    <w:p w14:paraId="348E329D" w14:textId="77777777" w:rsidR="00230D84" w:rsidRPr="00230D84" w:rsidRDefault="00230D84" w:rsidP="00230D84">
      <w:pPr>
        <w:shd w:val="clear" w:color="auto" w:fill="EFEFEF"/>
        <w:spacing w:after="0" w:line="525" w:lineRule="atLeast"/>
        <w:outlineLvl w:val="0"/>
        <w:rPr>
          <w:rFonts w:ascii="Tahoma" w:eastAsia="Times New Roman" w:hAnsi="Tahoma" w:cs="Tahoma"/>
          <w:color w:val="DC3B33"/>
          <w:kern w:val="36"/>
          <w:sz w:val="45"/>
          <w:szCs w:val="45"/>
          <w:lang w:eastAsia="it-IT"/>
        </w:rPr>
      </w:pPr>
      <w:r w:rsidRPr="00230D84">
        <w:rPr>
          <w:rFonts w:ascii="Tahoma" w:eastAsia="Times New Roman" w:hAnsi="Tahoma" w:cs="Tahoma"/>
          <w:color w:val="DC3B33"/>
          <w:kern w:val="36"/>
          <w:sz w:val="45"/>
          <w:szCs w:val="45"/>
          <w:lang w:eastAsia="it-IT"/>
        </w:rPr>
        <w:t>Dimensionamento della rete scolastica: due pesi e due misure il segno di Valditara Ministro del Merito</w:t>
      </w:r>
    </w:p>
    <w:p w14:paraId="4E38712C" w14:textId="77777777" w:rsidR="00230D84" w:rsidRPr="00230D84" w:rsidRDefault="00230D84" w:rsidP="00230D84">
      <w:pPr>
        <w:shd w:val="clear" w:color="auto" w:fill="EFEFEF"/>
        <w:spacing w:before="75" w:after="75" w:line="240" w:lineRule="auto"/>
        <w:outlineLvl w:val="3"/>
        <w:rPr>
          <w:rFonts w:ascii="Arial" w:eastAsia="Times New Roman" w:hAnsi="Arial" w:cs="Arial"/>
          <w:color w:val="535353"/>
          <w:sz w:val="27"/>
          <w:szCs w:val="27"/>
          <w:lang w:eastAsia="it-IT"/>
        </w:rPr>
      </w:pPr>
      <w:r w:rsidRPr="00230D84">
        <w:rPr>
          <w:rFonts w:ascii="Arial" w:eastAsia="Times New Roman" w:hAnsi="Arial" w:cs="Arial"/>
          <w:color w:val="535353"/>
          <w:sz w:val="27"/>
          <w:szCs w:val="27"/>
          <w:lang w:eastAsia="it-IT"/>
        </w:rPr>
        <w:t xml:space="preserve">Sei Regioni potranno derogare solo per un anno fino al 2,99% rispetto al numero delle scuole da tagliare. Le altre potranno beneficiare della riduzione del numero </w:t>
      </w:r>
      <w:r w:rsidRPr="00230D84">
        <w:rPr>
          <w:rFonts w:ascii="Arial" w:eastAsia="Times New Roman" w:hAnsi="Arial" w:cs="Arial"/>
          <w:color w:val="535353"/>
          <w:sz w:val="27"/>
          <w:szCs w:val="27"/>
          <w:lang w:eastAsia="it-IT"/>
        </w:rPr>
        <w:lastRenderedPageBreak/>
        <w:t>di alunni per classe, del mantenimento delle dotazioni ATA, dell’aumento degli esoneri e dei semiesoneri dei docenti vicari finanziati, dai tagli al fondo di funzionamento delle scuole.</w:t>
      </w:r>
    </w:p>
    <w:p w14:paraId="39723A76" w14:textId="77777777" w:rsidR="00230D84" w:rsidRDefault="00230D84" w:rsidP="00230D84">
      <w:pPr>
        <w:shd w:val="clear" w:color="auto" w:fill="EFEFEF"/>
        <w:spacing w:after="225" w:line="240" w:lineRule="auto"/>
        <w:jc w:val="both"/>
        <w:rPr>
          <w:rFonts w:ascii="Arial" w:eastAsia="Times New Roman" w:hAnsi="Arial" w:cs="Arial"/>
          <w:color w:val="000000"/>
          <w:sz w:val="21"/>
          <w:szCs w:val="21"/>
          <w:lang w:eastAsia="it-IT"/>
        </w:rPr>
      </w:pPr>
    </w:p>
    <w:p w14:paraId="66530CEE" w14:textId="2AC7436B" w:rsidR="00230D84" w:rsidRPr="00230D84" w:rsidRDefault="00230D84" w:rsidP="00230D84">
      <w:pPr>
        <w:shd w:val="clear" w:color="auto" w:fill="EFEFEF"/>
        <w:spacing w:after="225" w:line="240" w:lineRule="auto"/>
        <w:jc w:val="both"/>
        <w:rPr>
          <w:rFonts w:ascii="Arial" w:eastAsia="Times New Roman" w:hAnsi="Arial" w:cs="Arial"/>
          <w:color w:val="000000"/>
          <w:sz w:val="21"/>
          <w:szCs w:val="21"/>
          <w:lang w:eastAsia="it-IT"/>
        </w:rPr>
      </w:pPr>
      <w:r w:rsidRPr="00230D84">
        <w:rPr>
          <w:rFonts w:ascii="Arial" w:eastAsia="Times New Roman" w:hAnsi="Arial" w:cs="Arial"/>
          <w:color w:val="000000"/>
          <w:sz w:val="21"/>
          <w:szCs w:val="21"/>
          <w:lang w:eastAsia="it-IT"/>
        </w:rPr>
        <w:t>Pubblicato in Gazzetta Ufficiale di ieri 16 gennaio il </w:t>
      </w:r>
      <w:hyperlink r:id="rId9" w:tgtFrame="_blank" w:history="1">
        <w:r w:rsidRPr="00230D84">
          <w:rPr>
            <w:rFonts w:ascii="Arial" w:eastAsia="Times New Roman" w:hAnsi="Arial" w:cs="Arial"/>
            <w:color w:val="005EB3"/>
            <w:sz w:val="21"/>
            <w:szCs w:val="21"/>
            <w:lang w:eastAsia="it-IT"/>
          </w:rPr>
          <w:t>decreto-legge n. 1/2025</w:t>
        </w:r>
      </w:hyperlink>
      <w:r w:rsidRPr="00230D84">
        <w:rPr>
          <w:rFonts w:ascii="Arial" w:eastAsia="Times New Roman" w:hAnsi="Arial" w:cs="Arial"/>
          <w:color w:val="000000"/>
          <w:sz w:val="21"/>
          <w:szCs w:val="21"/>
          <w:lang w:eastAsia="it-IT"/>
        </w:rPr>
        <w:t> che introduce ulteriori misure nella riorganizzazione del sistema scolastico prevista da una delle riforme della “Missione 4” del PNRR.</w:t>
      </w:r>
    </w:p>
    <w:p w14:paraId="1B23E95E" w14:textId="77777777" w:rsidR="00230D84" w:rsidRPr="00230D84" w:rsidRDefault="00230D84" w:rsidP="00230D84">
      <w:pPr>
        <w:shd w:val="clear" w:color="auto" w:fill="EFEFEF"/>
        <w:spacing w:after="225" w:line="240" w:lineRule="auto"/>
        <w:jc w:val="both"/>
        <w:rPr>
          <w:rFonts w:ascii="Arial" w:eastAsia="Times New Roman" w:hAnsi="Arial" w:cs="Arial"/>
          <w:color w:val="000000"/>
          <w:sz w:val="21"/>
          <w:szCs w:val="21"/>
          <w:lang w:eastAsia="it-IT"/>
        </w:rPr>
      </w:pPr>
      <w:r w:rsidRPr="00230D84">
        <w:rPr>
          <w:rFonts w:ascii="Arial" w:eastAsia="Times New Roman" w:hAnsi="Arial" w:cs="Arial"/>
          <w:color w:val="000000"/>
          <w:sz w:val="21"/>
          <w:szCs w:val="21"/>
          <w:lang w:eastAsia="it-IT"/>
        </w:rPr>
        <w:t xml:space="preserve">Il decreto legge prevede che le Regioni Campania, Emilia Romagna, Piemonte, Sardegna, Toscana e Umbria, che non hanno adottato entro il 31 dicembre 2024 la delibera relativa al dimensionamento della rete scolastica per </w:t>
      </w:r>
      <w:proofErr w:type="spellStart"/>
      <w:r w:rsidRPr="00230D84">
        <w:rPr>
          <w:rFonts w:ascii="Arial" w:eastAsia="Times New Roman" w:hAnsi="Arial" w:cs="Arial"/>
          <w:color w:val="000000"/>
          <w:sz w:val="21"/>
          <w:szCs w:val="21"/>
          <w:lang w:eastAsia="it-IT"/>
        </w:rPr>
        <w:t>l’a.s.</w:t>
      </w:r>
      <w:proofErr w:type="spellEnd"/>
      <w:r w:rsidRPr="00230D84">
        <w:rPr>
          <w:rFonts w:ascii="Arial" w:eastAsia="Times New Roman" w:hAnsi="Arial" w:cs="Arial"/>
          <w:color w:val="000000"/>
          <w:sz w:val="21"/>
          <w:szCs w:val="21"/>
          <w:lang w:eastAsia="it-IT"/>
        </w:rPr>
        <w:t xml:space="preserve"> 2025/2026, debbano provvedere entro 10 giorni dall’entrata in vigore del decreto, con la possibilità di avvalersi di una deroga non superiore al 2,99% del contingente definito dal decreto MIM 127/2023. Questo non deve però determinare un aumento delle facoltà assunzionali previste dal medesimo decreto. Nel caso di non utilizzo della deroga, si prevede che le medesime Regioni possano usufruire degli stessi benefici accordati alle Regioni che hanno adottato il piano di dimensionamento entro il 31 dicembre (ulteriori esoneri, mantenimento organico ATA, deroga numero minimo alunni per classe nelle arre interne).</w:t>
      </w:r>
    </w:p>
    <w:p w14:paraId="4BBC8BFF" w14:textId="77777777" w:rsidR="00230D84" w:rsidRPr="00230D84" w:rsidRDefault="00230D84" w:rsidP="00230D84">
      <w:pPr>
        <w:shd w:val="clear" w:color="auto" w:fill="EFEFEF"/>
        <w:spacing w:after="225" w:line="240" w:lineRule="auto"/>
        <w:jc w:val="both"/>
        <w:rPr>
          <w:rFonts w:ascii="Arial" w:eastAsia="Times New Roman" w:hAnsi="Arial" w:cs="Arial"/>
          <w:color w:val="000000"/>
          <w:sz w:val="21"/>
          <w:szCs w:val="21"/>
          <w:lang w:eastAsia="it-IT"/>
        </w:rPr>
      </w:pPr>
      <w:r w:rsidRPr="00230D84">
        <w:rPr>
          <w:rFonts w:ascii="Arial" w:eastAsia="Times New Roman" w:hAnsi="Arial" w:cs="Arial"/>
          <w:color w:val="000000"/>
          <w:sz w:val="21"/>
          <w:szCs w:val="21"/>
          <w:lang w:eastAsia="it-IT"/>
        </w:rPr>
        <w:t>Alle altre regioni già in regola con i piani di dimensionamento è previsto che gli USR siano autorizzati a concedere il funzionamento di classi potranno beneficiare nelle aree interne montane, isolane o, comunque, caratterizzate da maggiori livelli di dispersione scolastica – anche in deroga al numero minimo di alunni previsto dalle norme vigenti – purché nei limiti dell’organico dell’autonomia assegnato alla Regione oltre al riconoscimento di ulteriori esoneri per le funzioni vicarie del Ds e al mantenimento organico ATA.</w:t>
      </w:r>
    </w:p>
    <w:p w14:paraId="1B538F1B" w14:textId="77777777" w:rsidR="00230D84" w:rsidRPr="00230D84" w:rsidRDefault="00230D84" w:rsidP="00230D84">
      <w:pPr>
        <w:shd w:val="clear" w:color="auto" w:fill="EFEFEF"/>
        <w:spacing w:after="225" w:line="240" w:lineRule="auto"/>
        <w:jc w:val="both"/>
        <w:rPr>
          <w:rFonts w:ascii="Arial" w:eastAsia="Times New Roman" w:hAnsi="Arial" w:cs="Arial"/>
          <w:color w:val="000000"/>
          <w:sz w:val="21"/>
          <w:szCs w:val="21"/>
          <w:lang w:eastAsia="it-IT"/>
        </w:rPr>
      </w:pPr>
      <w:r w:rsidRPr="00230D84">
        <w:rPr>
          <w:rFonts w:ascii="Arial" w:eastAsia="Times New Roman" w:hAnsi="Arial" w:cs="Arial"/>
          <w:color w:val="000000"/>
          <w:sz w:val="21"/>
          <w:szCs w:val="21"/>
          <w:lang w:eastAsia="it-IT"/>
        </w:rPr>
        <w:t>È previsto infine l’anticipo dal 30 novembre al 31 ottobre di ciascun anno il termine entro il quale le regioni dovranno adottare le delibere di dimensionamento, con la possibilità di un differimento temporale massimo di trenta giorni che non potrà più essere definito da una delibera motivata della regione ma disposto da un decreto del MIM.</w:t>
      </w:r>
    </w:p>
    <w:p w14:paraId="6FA5ADA3" w14:textId="77777777" w:rsidR="00230D84" w:rsidRPr="00230D84" w:rsidRDefault="00230D84" w:rsidP="00230D84">
      <w:pPr>
        <w:shd w:val="clear" w:color="auto" w:fill="EFEFEF"/>
        <w:spacing w:after="225" w:line="240" w:lineRule="auto"/>
        <w:jc w:val="both"/>
        <w:rPr>
          <w:rFonts w:ascii="Arial" w:eastAsia="Times New Roman" w:hAnsi="Arial" w:cs="Arial"/>
          <w:color w:val="000000"/>
          <w:sz w:val="21"/>
          <w:szCs w:val="21"/>
          <w:lang w:eastAsia="it-IT"/>
        </w:rPr>
      </w:pPr>
      <w:r w:rsidRPr="00230D84">
        <w:rPr>
          <w:rFonts w:ascii="Arial" w:eastAsia="Times New Roman" w:hAnsi="Arial" w:cs="Arial"/>
          <w:color w:val="000000"/>
          <w:sz w:val="21"/>
          <w:szCs w:val="21"/>
          <w:lang w:eastAsia="it-IT"/>
        </w:rPr>
        <w:t>Si tratta con tutta evidenza di un segnale molto significativo dell’estrema difficoltà con cui le operazioni di dimensionamento si stanno effettuando. Tali difficoltà erano state ampiamente denunciate dalla FLC CGIL fin dall’approvazione della norma, che tra l’altro fu a suo tempo oggetto di una iniziativa legale unicamente da parte della nostra organizzazione. Il ministro, dal canto suo, aveva lanciato dichiarazioni trionfalistiche: nessuna scuola sarebbe stata chiusa e nessuno avrebbe perso posto!</w:t>
      </w:r>
    </w:p>
    <w:p w14:paraId="42033436" w14:textId="77777777" w:rsidR="00230D84" w:rsidRPr="00230D84" w:rsidRDefault="00230D84" w:rsidP="00230D84">
      <w:pPr>
        <w:shd w:val="clear" w:color="auto" w:fill="EFEFEF"/>
        <w:spacing w:after="225" w:line="240" w:lineRule="auto"/>
        <w:jc w:val="both"/>
        <w:rPr>
          <w:rFonts w:ascii="Arial" w:eastAsia="Times New Roman" w:hAnsi="Arial" w:cs="Arial"/>
          <w:color w:val="000000"/>
          <w:sz w:val="21"/>
          <w:szCs w:val="21"/>
          <w:lang w:eastAsia="it-IT"/>
        </w:rPr>
      </w:pPr>
      <w:r w:rsidRPr="00230D84">
        <w:rPr>
          <w:rFonts w:ascii="Arial" w:eastAsia="Times New Roman" w:hAnsi="Arial" w:cs="Arial"/>
          <w:color w:val="000000"/>
          <w:sz w:val="21"/>
          <w:szCs w:val="21"/>
          <w:lang w:eastAsia="it-IT"/>
        </w:rPr>
        <w:t>La realtà si sta dimostrando molto più complessa delle ottimistiche previsioni del ministro. Soprattutto si è rivelato inaffidabile e sbagliato il parametro nazionale ricavato dalle proiezioni ISTAT sul numero degli studenti frequentanti le istituzioni scolastiche di ciascuna regione, parametro con cui il decreto 127/2023 ha determinato per il triennio 2024/25 – 2026/27 gli organici dei dirigenti scolastici e del DSGA e le istituzioni scolastiche funzionanti sul territorio.</w:t>
      </w:r>
    </w:p>
    <w:p w14:paraId="0FF6C7F9" w14:textId="77777777" w:rsidR="00230D84" w:rsidRPr="00230D84" w:rsidRDefault="00230D84" w:rsidP="00230D84">
      <w:pPr>
        <w:shd w:val="clear" w:color="auto" w:fill="EFEFEF"/>
        <w:spacing w:after="225" w:line="240" w:lineRule="auto"/>
        <w:jc w:val="both"/>
        <w:rPr>
          <w:rFonts w:ascii="Arial" w:eastAsia="Times New Roman" w:hAnsi="Arial" w:cs="Arial"/>
          <w:color w:val="000000"/>
          <w:sz w:val="21"/>
          <w:szCs w:val="21"/>
          <w:lang w:eastAsia="it-IT"/>
        </w:rPr>
      </w:pPr>
      <w:r w:rsidRPr="00230D84">
        <w:rPr>
          <w:rFonts w:ascii="Arial" w:eastAsia="Times New Roman" w:hAnsi="Arial" w:cs="Arial"/>
          <w:color w:val="000000"/>
          <w:sz w:val="21"/>
          <w:szCs w:val="21"/>
          <w:lang w:eastAsia="it-IT"/>
        </w:rPr>
        <w:t>Il ministero, nonostante le reiterate richieste di revisione e aggiornamento di quel parametro per renderlo più aderente alla realtà effettiva delle regioni, specialmente di quelle che hanno evidenziato maggiori difficoltà nelle operazioni di dimensionamento, ha però continuato a perseguire la strada dei tagli. Sono state utilizzate tra l’altro modalità molto discutibili che, proprio nelle regioni più in affanno, comporteranno ulteriori penalizzazioni. </w:t>
      </w:r>
    </w:p>
    <w:p w14:paraId="09625275" w14:textId="77777777" w:rsidR="00230D84" w:rsidRPr="00230D84" w:rsidRDefault="00230D84" w:rsidP="00230D84">
      <w:pPr>
        <w:shd w:val="clear" w:color="auto" w:fill="EFEFEF"/>
        <w:spacing w:after="225" w:line="240" w:lineRule="auto"/>
        <w:jc w:val="both"/>
        <w:rPr>
          <w:rFonts w:ascii="Arial" w:eastAsia="Times New Roman" w:hAnsi="Arial" w:cs="Arial"/>
          <w:color w:val="000000"/>
          <w:sz w:val="21"/>
          <w:szCs w:val="21"/>
          <w:lang w:eastAsia="it-IT"/>
        </w:rPr>
      </w:pPr>
      <w:r w:rsidRPr="00230D84">
        <w:rPr>
          <w:rFonts w:ascii="Arial" w:eastAsia="Times New Roman" w:hAnsi="Arial" w:cs="Arial"/>
          <w:color w:val="000000"/>
          <w:sz w:val="21"/>
          <w:szCs w:val="21"/>
          <w:lang w:eastAsia="it-IT"/>
        </w:rPr>
        <w:t>Come </w:t>
      </w:r>
      <w:hyperlink r:id="rId10" w:tgtFrame="_blank" w:history="1">
        <w:r w:rsidRPr="00230D84">
          <w:rPr>
            <w:rFonts w:ascii="Arial" w:eastAsia="Times New Roman" w:hAnsi="Arial" w:cs="Arial"/>
            <w:color w:val="005EB3"/>
            <w:sz w:val="21"/>
            <w:szCs w:val="21"/>
            <w:lang w:eastAsia="it-IT"/>
          </w:rPr>
          <w:t>sottolineato</w:t>
        </w:r>
      </w:hyperlink>
      <w:r w:rsidRPr="00230D84">
        <w:rPr>
          <w:rFonts w:ascii="Arial" w:eastAsia="Times New Roman" w:hAnsi="Arial" w:cs="Arial"/>
          <w:color w:val="000000"/>
          <w:sz w:val="21"/>
          <w:szCs w:val="21"/>
          <w:lang w:eastAsia="it-IT"/>
        </w:rPr>
        <w:t> dalla segretaria generale della FLC CGIL Gianna Fracassi, </w:t>
      </w:r>
      <w:r w:rsidRPr="00230D84">
        <w:rPr>
          <w:rFonts w:ascii="Arial" w:eastAsia="Times New Roman" w:hAnsi="Arial" w:cs="Arial"/>
          <w:b/>
          <w:bCs/>
          <w:color w:val="000000"/>
          <w:sz w:val="21"/>
          <w:szCs w:val="21"/>
          <w:lang w:eastAsia="it-IT"/>
        </w:rPr>
        <w:t>risulta inaccettabile che il decreto legge preveda, con finalità punitive, due pesi e due misure non riconoscendo alle Regioni che si avverranno della deroga del 2,99% la possibilità di avvalersi della riduzione del numero degli alunni per classe e del mantenimento degli organici ATA.</w:t>
      </w:r>
    </w:p>
    <w:p w14:paraId="1C02126C" w14:textId="77777777" w:rsidR="00230D84" w:rsidRPr="00230D84" w:rsidRDefault="00230D84" w:rsidP="00230D84">
      <w:pPr>
        <w:shd w:val="clear" w:color="auto" w:fill="EFEFEF"/>
        <w:spacing w:after="225" w:line="240" w:lineRule="auto"/>
        <w:jc w:val="both"/>
        <w:rPr>
          <w:rFonts w:ascii="Arial" w:eastAsia="Times New Roman" w:hAnsi="Arial" w:cs="Arial"/>
          <w:color w:val="000000"/>
          <w:sz w:val="21"/>
          <w:szCs w:val="21"/>
          <w:lang w:eastAsia="it-IT"/>
        </w:rPr>
      </w:pPr>
      <w:r w:rsidRPr="00230D84">
        <w:rPr>
          <w:rFonts w:ascii="Arial" w:eastAsia="Times New Roman" w:hAnsi="Arial" w:cs="Arial"/>
          <w:color w:val="000000"/>
          <w:sz w:val="21"/>
          <w:szCs w:val="21"/>
          <w:lang w:eastAsia="it-IT"/>
        </w:rPr>
        <w:t xml:space="preserve">Le altre Regioni peraltro, non riceveranno alcuna risorsa aggiuntiva- come ad esempio gli esoneri per le funzioni vicarie mentre sono proprio quelle che avrebbero più bisogno– considerato l’aumento del numero delle scuole date in reggenza a DS e </w:t>
      </w:r>
      <w:proofErr w:type="spellStart"/>
      <w:r w:rsidRPr="00230D84">
        <w:rPr>
          <w:rFonts w:ascii="Arial" w:eastAsia="Times New Roman" w:hAnsi="Arial" w:cs="Arial"/>
          <w:color w:val="000000"/>
          <w:sz w:val="21"/>
          <w:szCs w:val="21"/>
          <w:lang w:eastAsia="it-IT"/>
        </w:rPr>
        <w:t>Dsga</w:t>
      </w:r>
      <w:proofErr w:type="spellEnd"/>
      <w:r w:rsidRPr="00230D84">
        <w:rPr>
          <w:rFonts w:ascii="Arial" w:eastAsia="Times New Roman" w:hAnsi="Arial" w:cs="Arial"/>
          <w:color w:val="000000"/>
          <w:sz w:val="21"/>
          <w:szCs w:val="21"/>
          <w:lang w:eastAsia="it-IT"/>
        </w:rPr>
        <w:t>. Si ricorda che uno dei principali risultati che il Ministro Valditara attribuiva al piano pluriennale di dimensionamento era proprio l’eliminazione delle reggenze, con l’impegno ad assegnare ad ogni istituzione scolastica un dirigente e un DSGA titolari. </w:t>
      </w:r>
    </w:p>
    <w:p w14:paraId="16896A64" w14:textId="77777777" w:rsidR="00230D84" w:rsidRPr="00230D84" w:rsidRDefault="00230D84" w:rsidP="00230D84">
      <w:pPr>
        <w:shd w:val="clear" w:color="auto" w:fill="EFEFEF"/>
        <w:spacing w:after="225" w:line="240" w:lineRule="auto"/>
        <w:jc w:val="both"/>
        <w:rPr>
          <w:rFonts w:ascii="Arial" w:eastAsia="Times New Roman" w:hAnsi="Arial" w:cs="Arial"/>
          <w:color w:val="000000"/>
          <w:sz w:val="21"/>
          <w:szCs w:val="21"/>
          <w:lang w:eastAsia="it-IT"/>
        </w:rPr>
      </w:pPr>
      <w:r w:rsidRPr="00230D84">
        <w:rPr>
          <w:rFonts w:ascii="Arial" w:eastAsia="Times New Roman" w:hAnsi="Arial" w:cs="Arial"/>
          <w:color w:val="000000"/>
          <w:sz w:val="21"/>
          <w:szCs w:val="21"/>
          <w:lang w:eastAsia="it-IT"/>
        </w:rPr>
        <w:lastRenderedPageBreak/>
        <w:t>Le conseguenze che la situazione determinerà sull’organizzazione delle scuole e sulla mobilità interregionale dei dirigenti scolastici sono purtroppo prevedibili e scontate. Senza contare il peso che graverà sulle scuole a causa dei tagli lineari sugli organici docenti (5660) introdotti dalla legge di bilancio 2025 e dalla riduzione del fondo di funzionamento operato dal DL in oggetto.</w:t>
      </w:r>
    </w:p>
    <w:p w14:paraId="30C337CD" w14:textId="77777777" w:rsidR="00230D84" w:rsidRPr="00230D84" w:rsidRDefault="00230D84" w:rsidP="00230D84">
      <w:pPr>
        <w:shd w:val="clear" w:color="auto" w:fill="EFEFEF"/>
        <w:spacing w:after="225" w:line="240" w:lineRule="auto"/>
        <w:jc w:val="both"/>
        <w:rPr>
          <w:rFonts w:ascii="Arial" w:eastAsia="Times New Roman" w:hAnsi="Arial" w:cs="Arial"/>
          <w:color w:val="000000"/>
          <w:sz w:val="21"/>
          <w:szCs w:val="21"/>
          <w:lang w:eastAsia="it-IT"/>
        </w:rPr>
      </w:pPr>
      <w:r w:rsidRPr="00230D84">
        <w:rPr>
          <w:rFonts w:ascii="Arial" w:eastAsia="Times New Roman" w:hAnsi="Arial" w:cs="Arial"/>
          <w:color w:val="000000"/>
          <w:sz w:val="21"/>
          <w:szCs w:val="21"/>
          <w:lang w:eastAsia="it-IT"/>
        </w:rPr>
        <w:t>Ancora una volta un provvedimento che conferma l’indifferenza del governo e del ministro Valditara nei confronti della scuola pubblica e dei suoi problemi.</w:t>
      </w:r>
    </w:p>
    <w:p w14:paraId="1FF78CAC" w14:textId="77777777" w:rsidR="00230D84" w:rsidRPr="002F7665" w:rsidRDefault="00230D84" w:rsidP="002F7665">
      <w:pPr>
        <w:spacing w:before="100" w:beforeAutospacing="1" w:after="100" w:afterAutospacing="1" w:line="240" w:lineRule="auto"/>
        <w:rPr>
          <w:rFonts w:ascii="Times New Roman" w:eastAsia="Times New Roman" w:hAnsi="Times New Roman" w:cs="Times New Roman"/>
          <w:sz w:val="24"/>
          <w:szCs w:val="24"/>
          <w:lang w:eastAsia="it-IT"/>
        </w:rPr>
      </w:pPr>
    </w:p>
    <w:p w14:paraId="2A76F229" w14:textId="6042BE18" w:rsidR="000B73BC" w:rsidRPr="000B73BC" w:rsidRDefault="000B73BC" w:rsidP="000B73BC">
      <w:pPr>
        <w:shd w:val="clear" w:color="auto" w:fill="EFEFEF"/>
        <w:spacing w:after="0" w:line="525" w:lineRule="atLeast"/>
        <w:outlineLvl w:val="0"/>
        <w:rPr>
          <w:rFonts w:ascii="Tahoma" w:eastAsia="Times New Roman" w:hAnsi="Tahoma" w:cs="Tahoma"/>
          <w:color w:val="DC3B33"/>
          <w:kern w:val="36"/>
          <w:sz w:val="45"/>
          <w:szCs w:val="45"/>
          <w:lang w:eastAsia="it-IT"/>
        </w:rPr>
      </w:pPr>
      <w:r w:rsidRPr="000B73BC">
        <w:rPr>
          <w:rFonts w:ascii="Tahoma" w:eastAsia="Times New Roman" w:hAnsi="Tahoma" w:cs="Tahoma"/>
          <w:color w:val="DC3B33"/>
          <w:kern w:val="36"/>
          <w:sz w:val="45"/>
          <w:szCs w:val="45"/>
          <w:lang w:eastAsia="it-IT"/>
        </w:rPr>
        <w:t>Docenti assunti dopo il 1° settembre 2024: riparametrato in proporzione alla durata del contratto il conteggio del servizio per la validità dell’anno di prova</w:t>
      </w:r>
    </w:p>
    <w:p w14:paraId="3034E9B5" w14:textId="77777777" w:rsidR="000B73BC" w:rsidRPr="000B73BC" w:rsidRDefault="000B73BC" w:rsidP="000B73BC">
      <w:pPr>
        <w:shd w:val="clear" w:color="auto" w:fill="EFEFEF"/>
        <w:spacing w:before="75" w:after="75" w:line="240" w:lineRule="auto"/>
        <w:outlineLvl w:val="3"/>
        <w:rPr>
          <w:rFonts w:ascii="Arial" w:eastAsia="Times New Roman" w:hAnsi="Arial" w:cs="Arial"/>
          <w:color w:val="535353"/>
          <w:sz w:val="27"/>
          <w:szCs w:val="27"/>
          <w:lang w:eastAsia="it-IT"/>
        </w:rPr>
      </w:pPr>
      <w:r w:rsidRPr="000B73BC">
        <w:rPr>
          <w:rFonts w:ascii="Arial" w:eastAsia="Times New Roman" w:hAnsi="Arial" w:cs="Arial"/>
          <w:color w:val="535353"/>
          <w:sz w:val="27"/>
          <w:szCs w:val="27"/>
          <w:lang w:eastAsia="it-IT"/>
        </w:rPr>
        <w:t>​Il ricalcolo verrà applicato sia ai vincitori di concorso le cui graduatorie sono state pubblicate entro il 10 dicembre che agli assunti a tempo indeterminato con la sola decorrenza giuridica 01/09/24 in possesso dei requisiti di servizio previsti</w:t>
      </w:r>
    </w:p>
    <w:p w14:paraId="78F6A449" w14:textId="77777777" w:rsidR="000B73BC" w:rsidRPr="000B73BC" w:rsidRDefault="000B73BC" w:rsidP="000B73BC">
      <w:pPr>
        <w:shd w:val="clear" w:color="auto" w:fill="EFEFEF"/>
        <w:spacing w:after="0" w:line="240" w:lineRule="auto"/>
        <w:rPr>
          <w:rFonts w:ascii="Arial" w:eastAsia="Times New Roman" w:hAnsi="Arial" w:cs="Arial"/>
          <w:color w:val="4D4D4D"/>
          <w:sz w:val="21"/>
          <w:szCs w:val="21"/>
          <w:lang w:eastAsia="it-IT"/>
        </w:rPr>
      </w:pPr>
      <w:r w:rsidRPr="000B73BC">
        <w:rPr>
          <w:rFonts w:ascii="Arial" w:eastAsia="Times New Roman" w:hAnsi="Arial" w:cs="Arial"/>
          <w:b/>
          <w:bCs/>
          <w:color w:val="4D4D4D"/>
          <w:sz w:val="21"/>
          <w:szCs w:val="21"/>
          <w:lang w:eastAsia="it-IT"/>
        </w:rPr>
        <w:t>15/01/2025</w:t>
      </w:r>
    </w:p>
    <w:p w14:paraId="3AAF464F" w14:textId="77777777" w:rsidR="000B73BC" w:rsidRPr="000B73BC" w:rsidRDefault="000B73BC" w:rsidP="000B73BC">
      <w:pPr>
        <w:shd w:val="clear" w:color="auto" w:fill="EFEFEF"/>
        <w:spacing w:after="225" w:line="240" w:lineRule="auto"/>
        <w:jc w:val="both"/>
        <w:rPr>
          <w:rFonts w:ascii="Arial" w:eastAsia="Times New Roman" w:hAnsi="Arial" w:cs="Arial"/>
          <w:color w:val="000000"/>
          <w:sz w:val="21"/>
          <w:szCs w:val="21"/>
          <w:lang w:eastAsia="it-IT"/>
        </w:rPr>
      </w:pPr>
    </w:p>
    <w:p w14:paraId="55B39359" w14:textId="2D8AA381" w:rsidR="000B73BC" w:rsidRPr="000B73BC" w:rsidRDefault="000B73BC" w:rsidP="000B73BC">
      <w:pPr>
        <w:shd w:val="clear" w:color="auto" w:fill="EFEFEF"/>
        <w:spacing w:after="225" w:line="240" w:lineRule="auto"/>
        <w:jc w:val="both"/>
        <w:rPr>
          <w:rFonts w:ascii="Arial" w:eastAsia="Times New Roman" w:hAnsi="Arial" w:cs="Arial"/>
          <w:color w:val="000000"/>
          <w:sz w:val="21"/>
          <w:szCs w:val="21"/>
          <w:lang w:eastAsia="it-IT"/>
        </w:rPr>
      </w:pPr>
      <w:r w:rsidRPr="000B73BC">
        <w:rPr>
          <w:rFonts w:ascii="Arial" w:eastAsia="Times New Roman" w:hAnsi="Arial" w:cs="Arial"/>
          <w:color w:val="000000"/>
          <w:sz w:val="21"/>
          <w:szCs w:val="21"/>
          <w:lang w:eastAsia="it-IT"/>
        </w:rPr>
        <w:t>Con la </w:t>
      </w:r>
      <w:hyperlink r:id="rId11" w:tgtFrame="_blank" w:history="1">
        <w:r w:rsidRPr="000B73BC">
          <w:rPr>
            <w:rFonts w:ascii="Arial" w:eastAsia="Times New Roman" w:hAnsi="Arial" w:cs="Arial"/>
            <w:color w:val="005EB3"/>
            <w:sz w:val="21"/>
            <w:szCs w:val="21"/>
            <w:u w:val="single"/>
            <w:lang w:eastAsia="it-IT"/>
          </w:rPr>
          <w:t>nota n.1765 del 15 gennaio 2025</w:t>
        </w:r>
      </w:hyperlink>
      <w:r w:rsidRPr="000B73BC">
        <w:rPr>
          <w:rFonts w:ascii="Arial" w:eastAsia="Times New Roman" w:hAnsi="Arial" w:cs="Arial"/>
          <w:color w:val="000000"/>
          <w:sz w:val="21"/>
          <w:szCs w:val="21"/>
          <w:lang w:eastAsia="it-IT"/>
        </w:rPr>
        <w:t>, il Ministero dell’Istruzione ha comunicato che per i docenti vincitori di concorso assunti con decorrenza successiva al 1° settembre 2024, e comunque non oltre il 31 dicembre 2024, ai sensi dell’articolo 4-bis, comma 3, del decreto-legge 31 maggio 2024, n. 71, convertito con modificazioni dalla legge 29 luglio 2024, n. 106, </w:t>
      </w:r>
      <w:r w:rsidRPr="000B73BC">
        <w:rPr>
          <w:rFonts w:ascii="Arial" w:eastAsia="Times New Roman" w:hAnsi="Arial" w:cs="Arial"/>
          <w:b/>
          <w:bCs/>
          <w:color w:val="000000"/>
          <w:sz w:val="21"/>
          <w:szCs w:val="21"/>
          <w:lang w:eastAsia="it-IT"/>
        </w:rPr>
        <w:t>il conteggio dei requisiti di servizio ai fini della validità dell’ anno di formazione e prova dovrà essere proporzionalmente riparametrato sulla base della durata effettiva del contratto a tempo indeterminato.</w:t>
      </w:r>
    </w:p>
    <w:p w14:paraId="6528943F" w14:textId="77777777" w:rsidR="000B73BC" w:rsidRPr="000B73BC" w:rsidRDefault="000B73BC" w:rsidP="000B73BC">
      <w:pPr>
        <w:shd w:val="clear" w:color="auto" w:fill="EFEFEF"/>
        <w:spacing w:after="225" w:line="240" w:lineRule="auto"/>
        <w:jc w:val="both"/>
        <w:rPr>
          <w:rFonts w:ascii="Arial" w:eastAsia="Times New Roman" w:hAnsi="Arial" w:cs="Arial"/>
          <w:color w:val="000000"/>
          <w:sz w:val="21"/>
          <w:szCs w:val="21"/>
          <w:lang w:eastAsia="it-IT"/>
        </w:rPr>
      </w:pPr>
      <w:r w:rsidRPr="000B73BC">
        <w:rPr>
          <w:rFonts w:ascii="Arial" w:eastAsia="Times New Roman" w:hAnsi="Arial" w:cs="Arial"/>
          <w:color w:val="000000"/>
          <w:sz w:val="21"/>
          <w:szCs w:val="21"/>
          <w:lang w:eastAsia="it-IT"/>
        </w:rPr>
        <w:t>Allo stesso modo si procederà rispetto ai docenti assunti a tempo indeterminato con decorrenza giuridica 01/09/2024 ed economica 01/09/2025 in possesso dei prescritti requisiti di servizio nel medesimo grado di istruzione.</w:t>
      </w:r>
    </w:p>
    <w:p w14:paraId="2AAB8259" w14:textId="63C7D3BB" w:rsidR="002F7665" w:rsidRPr="002F7665" w:rsidRDefault="002F7665" w:rsidP="002F7665">
      <w:pPr>
        <w:spacing w:before="100" w:beforeAutospacing="1" w:after="100" w:afterAutospacing="1" w:line="240" w:lineRule="auto"/>
        <w:outlineLvl w:val="0"/>
        <w:rPr>
          <w:rFonts w:ascii="Times New Roman" w:eastAsia="Times New Roman" w:hAnsi="Times New Roman" w:cs="Times New Roman"/>
          <w:b/>
          <w:bCs/>
          <w:color w:val="FF0000"/>
          <w:kern w:val="36"/>
          <w:sz w:val="48"/>
          <w:szCs w:val="48"/>
          <w:lang w:eastAsia="it-IT"/>
        </w:rPr>
      </w:pPr>
      <w:r w:rsidRPr="002F7665">
        <w:rPr>
          <w:rFonts w:ascii="Times New Roman" w:eastAsia="Times New Roman" w:hAnsi="Times New Roman" w:cs="Times New Roman"/>
          <w:b/>
          <w:bCs/>
          <w:color w:val="FF0000"/>
          <w:kern w:val="36"/>
          <w:sz w:val="48"/>
          <w:szCs w:val="48"/>
          <w:lang w:eastAsia="it-IT"/>
        </w:rPr>
        <w:t>Concorso PNRR 2: nuove aggregazioni per la prova orale</w:t>
      </w:r>
    </w:p>
    <w:p w14:paraId="10B46BBF" w14:textId="77777777" w:rsidR="002F7665" w:rsidRPr="002F7665" w:rsidRDefault="002F7665" w:rsidP="002F7665">
      <w:pPr>
        <w:spacing w:before="100" w:beforeAutospacing="1" w:after="100" w:afterAutospacing="1" w:line="240" w:lineRule="auto"/>
        <w:outlineLvl w:val="3"/>
        <w:rPr>
          <w:rFonts w:ascii="Times New Roman" w:eastAsia="Times New Roman" w:hAnsi="Times New Roman" w:cs="Times New Roman"/>
          <w:b/>
          <w:bCs/>
          <w:sz w:val="24"/>
          <w:szCs w:val="24"/>
          <w:lang w:eastAsia="it-IT"/>
        </w:rPr>
      </w:pPr>
      <w:r w:rsidRPr="002F7665">
        <w:rPr>
          <w:rFonts w:ascii="Times New Roman" w:eastAsia="Times New Roman" w:hAnsi="Times New Roman" w:cs="Times New Roman"/>
          <w:b/>
          <w:bCs/>
          <w:sz w:val="24"/>
          <w:szCs w:val="24"/>
          <w:lang w:eastAsia="it-IT"/>
        </w:rPr>
        <w:t>Il Ministero ha trasmesso un nuovo allegato che aggiorna le aggregazioni per ciascuna delle due procedure concorsuali</w:t>
      </w:r>
    </w:p>
    <w:p w14:paraId="749648F0" w14:textId="77777777" w:rsidR="002F7665" w:rsidRPr="002F7665" w:rsidRDefault="002F7665" w:rsidP="002F7665">
      <w:pPr>
        <w:spacing w:after="0" w:line="240" w:lineRule="auto"/>
        <w:rPr>
          <w:rFonts w:ascii="Times New Roman" w:eastAsia="Times New Roman" w:hAnsi="Times New Roman" w:cs="Times New Roman"/>
          <w:sz w:val="24"/>
          <w:szCs w:val="24"/>
          <w:lang w:eastAsia="it-IT"/>
        </w:rPr>
      </w:pPr>
      <w:r w:rsidRPr="002F7665">
        <w:rPr>
          <w:rFonts w:ascii="Times New Roman" w:eastAsia="Times New Roman" w:hAnsi="Times New Roman" w:cs="Times New Roman"/>
          <w:b/>
          <w:bCs/>
          <w:sz w:val="24"/>
          <w:szCs w:val="24"/>
          <w:lang w:eastAsia="it-IT"/>
        </w:rPr>
        <w:t>13/01/2025</w:t>
      </w:r>
      <w:r w:rsidRPr="002F7665">
        <w:rPr>
          <w:rFonts w:ascii="Times New Roman" w:eastAsia="Times New Roman" w:hAnsi="Times New Roman" w:cs="Times New Roman"/>
          <w:sz w:val="24"/>
          <w:szCs w:val="24"/>
          <w:lang w:eastAsia="it-IT"/>
        </w:rPr>
        <w:t xml:space="preserve"> </w:t>
      </w:r>
    </w:p>
    <w:p w14:paraId="44791520" w14:textId="77777777" w:rsidR="002F7665" w:rsidRPr="002F7665" w:rsidRDefault="002F7665" w:rsidP="002F7665">
      <w:pPr>
        <w:spacing w:before="100" w:beforeAutospacing="1" w:after="100" w:afterAutospacing="1" w:line="240" w:lineRule="auto"/>
        <w:rPr>
          <w:rFonts w:ascii="Times New Roman" w:eastAsia="Times New Roman" w:hAnsi="Times New Roman" w:cs="Times New Roman"/>
          <w:sz w:val="24"/>
          <w:szCs w:val="24"/>
          <w:lang w:eastAsia="it-IT"/>
        </w:rPr>
      </w:pPr>
      <w:r w:rsidRPr="002F7665">
        <w:rPr>
          <w:rFonts w:ascii="Times New Roman" w:eastAsia="Times New Roman" w:hAnsi="Times New Roman" w:cs="Times New Roman"/>
          <w:sz w:val="24"/>
          <w:szCs w:val="24"/>
          <w:lang w:eastAsia="it-IT"/>
        </w:rPr>
        <w:t>Il Ministero dell’Istruzione ha pubblicato i Decreti Dipartimentali</w:t>
      </w:r>
      <w:hyperlink r:id="rId12" w:tgtFrame="_blank" w:history="1">
        <w:r w:rsidRPr="002F7665">
          <w:rPr>
            <w:rFonts w:ascii="Times New Roman" w:eastAsia="Times New Roman" w:hAnsi="Times New Roman" w:cs="Times New Roman"/>
            <w:color w:val="0000FF"/>
            <w:sz w:val="24"/>
            <w:szCs w:val="24"/>
            <w:u w:val="single"/>
            <w:lang w:eastAsia="it-IT"/>
          </w:rPr>
          <w:t xml:space="preserve"> n. 55</w:t>
        </w:r>
      </w:hyperlink>
      <w:r w:rsidRPr="002F7665">
        <w:rPr>
          <w:rFonts w:ascii="Times New Roman" w:eastAsia="Times New Roman" w:hAnsi="Times New Roman" w:cs="Times New Roman"/>
          <w:sz w:val="24"/>
          <w:szCs w:val="24"/>
          <w:lang w:eastAsia="it-IT"/>
        </w:rPr>
        <w:t xml:space="preserve"> e </w:t>
      </w:r>
      <w:hyperlink r:id="rId13" w:tgtFrame="_blank" w:history="1">
        <w:r w:rsidRPr="002F7665">
          <w:rPr>
            <w:rFonts w:ascii="Times New Roman" w:eastAsia="Times New Roman" w:hAnsi="Times New Roman" w:cs="Times New Roman"/>
            <w:color w:val="0000FF"/>
            <w:sz w:val="24"/>
            <w:szCs w:val="24"/>
            <w:u w:val="single"/>
            <w:lang w:eastAsia="it-IT"/>
          </w:rPr>
          <w:t>n. 56</w:t>
        </w:r>
      </w:hyperlink>
      <w:r w:rsidRPr="002F7665">
        <w:rPr>
          <w:rFonts w:ascii="Times New Roman" w:eastAsia="Times New Roman" w:hAnsi="Times New Roman" w:cs="Times New Roman"/>
          <w:sz w:val="24"/>
          <w:szCs w:val="24"/>
          <w:lang w:eastAsia="it-IT"/>
        </w:rPr>
        <w:t xml:space="preserve"> del 13 gennaio 2025 relativi rispettivamente all’aggregazione delle procedure concorsuali per l’accesso ai ruoli del personale docente della scuola secondaria di primo e di secondo e di infanzia e primaria per la prova orale (e pratica, per quelle classi di concorso che la prevedono).</w:t>
      </w:r>
    </w:p>
    <w:p w14:paraId="742C42DD" w14:textId="77777777" w:rsidR="002F7665" w:rsidRPr="002F7665" w:rsidRDefault="002F7665" w:rsidP="002F7665">
      <w:pPr>
        <w:spacing w:before="100" w:beforeAutospacing="1" w:after="100" w:afterAutospacing="1" w:line="240" w:lineRule="auto"/>
        <w:rPr>
          <w:rFonts w:ascii="Times New Roman" w:eastAsia="Times New Roman" w:hAnsi="Times New Roman" w:cs="Times New Roman"/>
          <w:sz w:val="24"/>
          <w:szCs w:val="24"/>
          <w:lang w:eastAsia="it-IT"/>
        </w:rPr>
      </w:pPr>
      <w:r w:rsidRPr="002F7665">
        <w:rPr>
          <w:rFonts w:ascii="Times New Roman" w:eastAsia="Times New Roman" w:hAnsi="Times New Roman" w:cs="Times New Roman"/>
          <w:sz w:val="24"/>
          <w:szCs w:val="24"/>
          <w:lang w:eastAsia="it-IT"/>
        </w:rPr>
        <w:t xml:space="preserve">Le nuove aggregazioni sono riportate nell’Allegato 1 ai due rispettivi decreti, e andranno a sostituire integralmente l’Allegato 2 dei decreti </w:t>
      </w:r>
      <w:hyperlink r:id="rId14" w:tgtFrame="_blank" w:history="1">
        <w:r w:rsidRPr="002F7665">
          <w:rPr>
            <w:rFonts w:ascii="Times New Roman" w:eastAsia="Times New Roman" w:hAnsi="Times New Roman" w:cs="Times New Roman"/>
            <w:color w:val="0000FF"/>
            <w:sz w:val="24"/>
            <w:szCs w:val="24"/>
            <w:u w:val="single"/>
            <w:lang w:eastAsia="it-IT"/>
          </w:rPr>
          <w:t>pubblicati a dicembre 2024</w:t>
        </w:r>
      </w:hyperlink>
      <w:r w:rsidRPr="002F7665">
        <w:rPr>
          <w:rFonts w:ascii="Times New Roman" w:eastAsia="Times New Roman" w:hAnsi="Times New Roman" w:cs="Times New Roman"/>
          <w:sz w:val="24"/>
          <w:szCs w:val="24"/>
          <w:lang w:eastAsia="it-IT"/>
        </w:rPr>
        <w:t>.</w:t>
      </w:r>
    </w:p>
    <w:p w14:paraId="610E1B1C" w14:textId="77777777" w:rsidR="002F7665" w:rsidRPr="002F7665" w:rsidRDefault="002F7665" w:rsidP="002F7665">
      <w:pPr>
        <w:spacing w:before="100" w:beforeAutospacing="1" w:after="100" w:afterAutospacing="1" w:line="240" w:lineRule="auto"/>
        <w:rPr>
          <w:rFonts w:ascii="Times New Roman" w:eastAsia="Times New Roman" w:hAnsi="Times New Roman" w:cs="Times New Roman"/>
          <w:sz w:val="24"/>
          <w:szCs w:val="24"/>
          <w:lang w:eastAsia="it-IT"/>
        </w:rPr>
      </w:pPr>
      <w:r w:rsidRPr="002F7665">
        <w:rPr>
          <w:rFonts w:ascii="Times New Roman" w:eastAsia="Times New Roman" w:hAnsi="Times New Roman" w:cs="Times New Roman"/>
          <w:sz w:val="24"/>
          <w:szCs w:val="24"/>
          <w:lang w:eastAsia="it-IT"/>
        </w:rPr>
        <w:lastRenderedPageBreak/>
        <w:t>Per quanto riguarda il concorso</w:t>
      </w:r>
      <w:r w:rsidRPr="002F7665">
        <w:rPr>
          <w:rFonts w:ascii="Times New Roman" w:eastAsia="Times New Roman" w:hAnsi="Times New Roman" w:cs="Times New Roman"/>
          <w:b/>
          <w:bCs/>
          <w:sz w:val="24"/>
          <w:szCs w:val="24"/>
          <w:lang w:eastAsia="it-IT"/>
        </w:rPr>
        <w:t xml:space="preserve"> infanzia e primaria </w:t>
      </w:r>
      <w:r w:rsidRPr="002F7665">
        <w:rPr>
          <w:rFonts w:ascii="Times New Roman" w:eastAsia="Times New Roman" w:hAnsi="Times New Roman" w:cs="Times New Roman"/>
          <w:sz w:val="24"/>
          <w:szCs w:val="24"/>
          <w:lang w:eastAsia="it-IT"/>
        </w:rPr>
        <w:t>sono previste le seguenti modifiche:</w:t>
      </w:r>
    </w:p>
    <w:p w14:paraId="7532E0B4" w14:textId="77777777" w:rsidR="002F7665" w:rsidRPr="002F7665" w:rsidRDefault="002F7665" w:rsidP="002F7665">
      <w:pPr>
        <w:spacing w:before="100" w:beforeAutospacing="1" w:after="100" w:afterAutospacing="1" w:line="240" w:lineRule="auto"/>
        <w:rPr>
          <w:rFonts w:ascii="Times New Roman" w:eastAsia="Times New Roman" w:hAnsi="Times New Roman" w:cs="Times New Roman"/>
          <w:sz w:val="24"/>
          <w:szCs w:val="24"/>
          <w:lang w:eastAsia="it-IT"/>
        </w:rPr>
      </w:pPr>
      <w:r w:rsidRPr="002F7665">
        <w:rPr>
          <w:rFonts w:ascii="Times New Roman" w:eastAsia="Times New Roman" w:hAnsi="Times New Roman" w:cs="Times New Roman"/>
          <w:sz w:val="24"/>
          <w:szCs w:val="24"/>
          <w:lang w:eastAsia="it-IT"/>
        </w:rPr>
        <w:t>ADAA: </w:t>
      </w:r>
      <w:r w:rsidRPr="002F7665">
        <w:rPr>
          <w:rFonts w:ascii="Times New Roman" w:eastAsia="Times New Roman" w:hAnsi="Times New Roman" w:cs="Times New Roman"/>
          <w:sz w:val="24"/>
          <w:szCs w:val="24"/>
          <w:lang w:eastAsia="it-IT"/>
        </w:rPr>
        <w:br/>
        <w:t>Lombardia + Piemonte</w:t>
      </w:r>
    </w:p>
    <w:p w14:paraId="3BE349EF" w14:textId="77777777" w:rsidR="002F7665" w:rsidRPr="002F7665" w:rsidRDefault="002F7665" w:rsidP="002F7665">
      <w:pPr>
        <w:spacing w:before="100" w:beforeAutospacing="1" w:after="100" w:afterAutospacing="1" w:line="240" w:lineRule="auto"/>
        <w:rPr>
          <w:rFonts w:ascii="Times New Roman" w:eastAsia="Times New Roman" w:hAnsi="Times New Roman" w:cs="Times New Roman"/>
          <w:sz w:val="24"/>
          <w:szCs w:val="24"/>
          <w:lang w:eastAsia="it-IT"/>
        </w:rPr>
      </w:pPr>
      <w:r w:rsidRPr="002F7665">
        <w:rPr>
          <w:rFonts w:ascii="Times New Roman" w:eastAsia="Times New Roman" w:hAnsi="Times New Roman" w:cs="Times New Roman"/>
          <w:sz w:val="24"/>
          <w:szCs w:val="24"/>
          <w:lang w:eastAsia="it-IT"/>
        </w:rPr>
        <w:t>ADEE:</w:t>
      </w:r>
      <w:r w:rsidRPr="002F7665">
        <w:rPr>
          <w:rFonts w:ascii="Times New Roman" w:eastAsia="Times New Roman" w:hAnsi="Times New Roman" w:cs="Times New Roman"/>
          <w:sz w:val="24"/>
          <w:szCs w:val="24"/>
          <w:lang w:eastAsia="it-IT"/>
        </w:rPr>
        <w:br/>
        <w:t>Veneto + Friuli</w:t>
      </w:r>
      <w:r w:rsidRPr="002F7665">
        <w:rPr>
          <w:rFonts w:ascii="Times New Roman" w:eastAsia="Times New Roman" w:hAnsi="Times New Roman" w:cs="Times New Roman"/>
          <w:sz w:val="24"/>
          <w:szCs w:val="24"/>
          <w:lang w:eastAsia="it-IT"/>
        </w:rPr>
        <w:br/>
        <w:t>Piemonte + Liguria</w:t>
      </w:r>
    </w:p>
    <w:p w14:paraId="19982912" w14:textId="77777777" w:rsidR="002F7665" w:rsidRPr="002F7665" w:rsidRDefault="002F7665" w:rsidP="002F7665">
      <w:pPr>
        <w:spacing w:before="100" w:beforeAutospacing="1" w:after="100" w:afterAutospacing="1" w:line="240" w:lineRule="auto"/>
        <w:rPr>
          <w:rFonts w:ascii="Times New Roman" w:eastAsia="Times New Roman" w:hAnsi="Times New Roman" w:cs="Times New Roman"/>
          <w:sz w:val="24"/>
          <w:szCs w:val="24"/>
          <w:lang w:eastAsia="it-IT"/>
        </w:rPr>
      </w:pPr>
      <w:r w:rsidRPr="002F7665">
        <w:rPr>
          <w:rFonts w:ascii="Times New Roman" w:eastAsia="Times New Roman" w:hAnsi="Times New Roman" w:cs="Times New Roman"/>
          <w:sz w:val="24"/>
          <w:szCs w:val="24"/>
          <w:lang w:eastAsia="it-IT"/>
        </w:rPr>
        <w:t xml:space="preserve">Per quanto riguarda il concorso per la </w:t>
      </w:r>
      <w:r w:rsidRPr="002F7665">
        <w:rPr>
          <w:rFonts w:ascii="Times New Roman" w:eastAsia="Times New Roman" w:hAnsi="Times New Roman" w:cs="Times New Roman"/>
          <w:b/>
          <w:bCs/>
          <w:sz w:val="24"/>
          <w:szCs w:val="24"/>
          <w:lang w:eastAsia="it-IT"/>
        </w:rPr>
        <w:t>scuola secondaria</w:t>
      </w:r>
      <w:r w:rsidRPr="002F7665">
        <w:rPr>
          <w:rFonts w:ascii="Times New Roman" w:eastAsia="Times New Roman" w:hAnsi="Times New Roman" w:cs="Times New Roman"/>
          <w:sz w:val="24"/>
          <w:szCs w:val="24"/>
          <w:lang w:eastAsia="it-IT"/>
        </w:rPr>
        <w:t xml:space="preserve"> le modifiche riguardano le seguenti aggregazioni:</w:t>
      </w:r>
    </w:p>
    <w:p w14:paraId="7D6C69CF" w14:textId="77777777" w:rsidR="002F7665" w:rsidRPr="002F7665" w:rsidRDefault="002F7665" w:rsidP="002F7665">
      <w:pPr>
        <w:spacing w:before="100" w:beforeAutospacing="1" w:after="100" w:afterAutospacing="1" w:line="240" w:lineRule="auto"/>
        <w:rPr>
          <w:rFonts w:ascii="Times New Roman" w:eastAsia="Times New Roman" w:hAnsi="Times New Roman" w:cs="Times New Roman"/>
          <w:sz w:val="24"/>
          <w:szCs w:val="24"/>
          <w:lang w:eastAsia="it-IT"/>
        </w:rPr>
      </w:pPr>
      <w:r w:rsidRPr="002F7665">
        <w:rPr>
          <w:rFonts w:ascii="Times New Roman" w:eastAsia="Times New Roman" w:hAnsi="Times New Roman" w:cs="Times New Roman"/>
          <w:sz w:val="24"/>
          <w:szCs w:val="24"/>
          <w:lang w:eastAsia="it-IT"/>
        </w:rPr>
        <w:t>A027:</w:t>
      </w:r>
      <w:r w:rsidRPr="002F7665">
        <w:rPr>
          <w:rFonts w:ascii="Times New Roman" w:eastAsia="Times New Roman" w:hAnsi="Times New Roman" w:cs="Times New Roman"/>
          <w:sz w:val="24"/>
          <w:szCs w:val="24"/>
          <w:lang w:eastAsia="it-IT"/>
        </w:rPr>
        <w:br/>
        <w:t>Basilicata + Molise</w:t>
      </w:r>
    </w:p>
    <w:p w14:paraId="432414F9" w14:textId="77777777" w:rsidR="002F7665" w:rsidRPr="002F7665" w:rsidRDefault="002F7665" w:rsidP="002F7665">
      <w:pPr>
        <w:spacing w:before="100" w:beforeAutospacing="1" w:after="100" w:afterAutospacing="1" w:line="240" w:lineRule="auto"/>
        <w:rPr>
          <w:rFonts w:ascii="Times New Roman" w:eastAsia="Times New Roman" w:hAnsi="Times New Roman" w:cs="Times New Roman"/>
          <w:sz w:val="24"/>
          <w:szCs w:val="24"/>
          <w:lang w:eastAsia="it-IT"/>
        </w:rPr>
      </w:pPr>
      <w:r w:rsidRPr="002F7665">
        <w:rPr>
          <w:rFonts w:ascii="Times New Roman" w:eastAsia="Times New Roman" w:hAnsi="Times New Roman" w:cs="Times New Roman"/>
          <w:sz w:val="24"/>
          <w:szCs w:val="24"/>
          <w:lang w:eastAsia="it-IT"/>
        </w:rPr>
        <w:t>A040:</w:t>
      </w:r>
      <w:r w:rsidRPr="002F7665">
        <w:rPr>
          <w:rFonts w:ascii="Times New Roman" w:eastAsia="Times New Roman" w:hAnsi="Times New Roman" w:cs="Times New Roman"/>
          <w:sz w:val="24"/>
          <w:szCs w:val="24"/>
          <w:lang w:eastAsia="it-IT"/>
        </w:rPr>
        <w:br/>
        <w:t>Basilicata + Campania</w:t>
      </w:r>
      <w:r w:rsidRPr="002F7665">
        <w:rPr>
          <w:rFonts w:ascii="Times New Roman" w:eastAsia="Times New Roman" w:hAnsi="Times New Roman" w:cs="Times New Roman"/>
          <w:sz w:val="24"/>
          <w:szCs w:val="24"/>
          <w:lang w:eastAsia="it-IT"/>
        </w:rPr>
        <w:br/>
        <w:t>Emilia-Romagna + Friuli + Veneto</w:t>
      </w:r>
      <w:r w:rsidRPr="002F7665">
        <w:rPr>
          <w:rFonts w:ascii="Times New Roman" w:eastAsia="Times New Roman" w:hAnsi="Times New Roman" w:cs="Times New Roman"/>
          <w:sz w:val="24"/>
          <w:szCs w:val="24"/>
          <w:lang w:eastAsia="it-IT"/>
        </w:rPr>
        <w:br/>
        <w:t>Lombardia + Piemonte</w:t>
      </w:r>
      <w:r w:rsidRPr="002F7665">
        <w:rPr>
          <w:rFonts w:ascii="Times New Roman" w:eastAsia="Times New Roman" w:hAnsi="Times New Roman" w:cs="Times New Roman"/>
          <w:sz w:val="24"/>
          <w:szCs w:val="24"/>
          <w:lang w:eastAsia="it-IT"/>
        </w:rPr>
        <w:br/>
        <w:t>Lazio + Molise</w:t>
      </w:r>
      <w:r w:rsidRPr="002F7665">
        <w:rPr>
          <w:rFonts w:ascii="Times New Roman" w:eastAsia="Times New Roman" w:hAnsi="Times New Roman" w:cs="Times New Roman"/>
          <w:sz w:val="24"/>
          <w:szCs w:val="24"/>
          <w:lang w:eastAsia="it-IT"/>
        </w:rPr>
        <w:br/>
        <w:t>Toscana + Liguria + Umbria</w:t>
      </w:r>
    </w:p>
    <w:p w14:paraId="5A456827" w14:textId="77777777" w:rsidR="002F7665" w:rsidRPr="002F7665" w:rsidRDefault="002F7665" w:rsidP="002F7665">
      <w:pPr>
        <w:spacing w:before="100" w:beforeAutospacing="1" w:after="100" w:afterAutospacing="1" w:line="240" w:lineRule="auto"/>
        <w:rPr>
          <w:rFonts w:ascii="Times New Roman" w:eastAsia="Times New Roman" w:hAnsi="Times New Roman" w:cs="Times New Roman"/>
          <w:sz w:val="24"/>
          <w:szCs w:val="24"/>
          <w:lang w:eastAsia="it-IT"/>
        </w:rPr>
      </w:pPr>
      <w:r w:rsidRPr="002F7665">
        <w:rPr>
          <w:rFonts w:ascii="Times New Roman" w:eastAsia="Times New Roman" w:hAnsi="Times New Roman" w:cs="Times New Roman"/>
          <w:sz w:val="24"/>
          <w:szCs w:val="24"/>
          <w:lang w:eastAsia="it-IT"/>
        </w:rPr>
        <w:t>A041:</w:t>
      </w:r>
      <w:r w:rsidRPr="002F7665">
        <w:rPr>
          <w:rFonts w:ascii="Times New Roman" w:eastAsia="Times New Roman" w:hAnsi="Times New Roman" w:cs="Times New Roman"/>
          <w:sz w:val="24"/>
          <w:szCs w:val="24"/>
          <w:lang w:eastAsia="it-IT"/>
        </w:rPr>
        <w:br/>
        <w:t>Friuli + Veneto</w:t>
      </w:r>
    </w:p>
    <w:p w14:paraId="33B975E3" w14:textId="77777777" w:rsidR="002F7665" w:rsidRPr="002F7665" w:rsidRDefault="002F7665" w:rsidP="002F7665">
      <w:pPr>
        <w:spacing w:before="100" w:beforeAutospacing="1" w:after="100" w:afterAutospacing="1" w:line="240" w:lineRule="auto"/>
        <w:rPr>
          <w:rFonts w:ascii="Times New Roman" w:eastAsia="Times New Roman" w:hAnsi="Times New Roman" w:cs="Times New Roman"/>
          <w:sz w:val="24"/>
          <w:szCs w:val="24"/>
          <w:lang w:eastAsia="it-IT"/>
        </w:rPr>
      </w:pPr>
      <w:r w:rsidRPr="002F7665">
        <w:rPr>
          <w:rFonts w:ascii="Times New Roman" w:eastAsia="Times New Roman" w:hAnsi="Times New Roman" w:cs="Times New Roman"/>
          <w:sz w:val="24"/>
          <w:szCs w:val="24"/>
          <w:lang w:eastAsia="it-IT"/>
        </w:rPr>
        <w:t>A042:</w:t>
      </w:r>
      <w:r w:rsidRPr="002F7665">
        <w:rPr>
          <w:rFonts w:ascii="Times New Roman" w:eastAsia="Times New Roman" w:hAnsi="Times New Roman" w:cs="Times New Roman"/>
          <w:sz w:val="24"/>
          <w:szCs w:val="24"/>
          <w:lang w:eastAsia="it-IT"/>
        </w:rPr>
        <w:br/>
        <w:t>Liguria + Piemonte + Toscana</w:t>
      </w:r>
    </w:p>
    <w:p w14:paraId="6CEC5782" w14:textId="77777777" w:rsidR="002F7665" w:rsidRPr="002F7665" w:rsidRDefault="002F7665" w:rsidP="002F7665">
      <w:pPr>
        <w:spacing w:before="100" w:beforeAutospacing="1" w:after="100" w:afterAutospacing="1" w:line="240" w:lineRule="auto"/>
        <w:rPr>
          <w:rFonts w:ascii="Times New Roman" w:eastAsia="Times New Roman" w:hAnsi="Times New Roman" w:cs="Times New Roman"/>
          <w:sz w:val="24"/>
          <w:szCs w:val="24"/>
          <w:lang w:eastAsia="it-IT"/>
        </w:rPr>
      </w:pPr>
      <w:r w:rsidRPr="002F7665">
        <w:rPr>
          <w:rFonts w:ascii="Times New Roman" w:eastAsia="Times New Roman" w:hAnsi="Times New Roman" w:cs="Times New Roman"/>
          <w:sz w:val="24"/>
          <w:szCs w:val="24"/>
          <w:lang w:eastAsia="it-IT"/>
        </w:rPr>
        <w:t>BB02:</w:t>
      </w:r>
      <w:r w:rsidRPr="002F7665">
        <w:rPr>
          <w:rFonts w:ascii="Times New Roman" w:eastAsia="Times New Roman" w:hAnsi="Times New Roman" w:cs="Times New Roman"/>
          <w:sz w:val="24"/>
          <w:szCs w:val="24"/>
          <w:lang w:eastAsia="it-IT"/>
        </w:rPr>
        <w:br/>
        <w:t>Liguria + Toscana + Veneto</w:t>
      </w:r>
    </w:p>
    <w:p w14:paraId="41E61275" w14:textId="77777777" w:rsidR="002F7665" w:rsidRPr="002F7665" w:rsidRDefault="002F7665" w:rsidP="002F7665">
      <w:pPr>
        <w:spacing w:before="100" w:beforeAutospacing="1" w:after="100" w:afterAutospacing="1" w:line="240" w:lineRule="auto"/>
        <w:rPr>
          <w:rFonts w:ascii="Times New Roman" w:eastAsia="Times New Roman" w:hAnsi="Times New Roman" w:cs="Times New Roman"/>
          <w:sz w:val="24"/>
          <w:szCs w:val="24"/>
          <w:lang w:eastAsia="it-IT"/>
        </w:rPr>
      </w:pPr>
      <w:r w:rsidRPr="002F7665">
        <w:rPr>
          <w:rFonts w:ascii="Times New Roman" w:eastAsia="Times New Roman" w:hAnsi="Times New Roman" w:cs="Times New Roman"/>
          <w:sz w:val="24"/>
          <w:szCs w:val="24"/>
          <w:lang w:eastAsia="it-IT"/>
        </w:rPr>
        <w:t xml:space="preserve">Ricordiamo Il concorso di cui al DDG n. 3060/2024 per i posti di scuola di infanzia e primaria, così come quello della secondaria DDG n. 3059/2024, prevedono una prova scritta e una prova orale. Leggi </w:t>
      </w:r>
      <w:hyperlink r:id="rId15" w:tgtFrame="_blank" w:history="1">
        <w:r w:rsidRPr="002F7665">
          <w:rPr>
            <w:rFonts w:ascii="Times New Roman" w:eastAsia="Times New Roman" w:hAnsi="Times New Roman" w:cs="Times New Roman"/>
            <w:color w:val="0000FF"/>
            <w:sz w:val="24"/>
            <w:szCs w:val="24"/>
            <w:u w:val="single"/>
            <w:lang w:eastAsia="it-IT"/>
          </w:rPr>
          <w:t>la notizia</w:t>
        </w:r>
      </w:hyperlink>
      <w:r w:rsidRPr="002F7665">
        <w:rPr>
          <w:rFonts w:ascii="Times New Roman" w:eastAsia="Times New Roman" w:hAnsi="Times New Roman" w:cs="Times New Roman"/>
          <w:sz w:val="24"/>
          <w:szCs w:val="24"/>
          <w:lang w:eastAsia="it-IT"/>
        </w:rPr>
        <w:t>.</w:t>
      </w:r>
    </w:p>
    <w:p w14:paraId="325EF2A3" w14:textId="77777777" w:rsidR="002F7665" w:rsidRPr="002F7665" w:rsidRDefault="002F7665" w:rsidP="002F7665">
      <w:pPr>
        <w:spacing w:before="100" w:beforeAutospacing="1" w:after="100" w:afterAutospacing="1" w:line="240" w:lineRule="auto"/>
        <w:rPr>
          <w:rFonts w:ascii="Times New Roman" w:eastAsia="Times New Roman" w:hAnsi="Times New Roman" w:cs="Times New Roman"/>
          <w:sz w:val="24"/>
          <w:szCs w:val="24"/>
          <w:lang w:eastAsia="it-IT"/>
        </w:rPr>
      </w:pPr>
      <w:r w:rsidRPr="002F7665">
        <w:rPr>
          <w:rFonts w:ascii="Times New Roman" w:eastAsia="Times New Roman" w:hAnsi="Times New Roman" w:cs="Times New Roman"/>
          <w:sz w:val="24"/>
          <w:szCs w:val="24"/>
          <w:lang w:eastAsia="it-IT"/>
        </w:rPr>
        <w:t>La prova scritta si svolgerà nella regione per la quale è stata presentata la domanda. Solo per la prova orale (ed eventualmente pratica) è prevista la possibilità di aggregazioni territoriali.</w:t>
      </w:r>
    </w:p>
    <w:p w14:paraId="7F8F32C6" w14:textId="77777777" w:rsidR="002F7665" w:rsidRPr="002F7665" w:rsidRDefault="002F7665" w:rsidP="002F7665">
      <w:pPr>
        <w:spacing w:before="100" w:beforeAutospacing="1" w:after="100" w:afterAutospacing="1" w:line="240" w:lineRule="auto"/>
        <w:rPr>
          <w:rFonts w:ascii="Times New Roman" w:eastAsia="Times New Roman" w:hAnsi="Times New Roman" w:cs="Times New Roman"/>
          <w:sz w:val="24"/>
          <w:szCs w:val="24"/>
          <w:lang w:eastAsia="it-IT"/>
        </w:rPr>
      </w:pPr>
      <w:r w:rsidRPr="002F7665">
        <w:rPr>
          <w:rFonts w:ascii="Times New Roman" w:eastAsia="Times New Roman" w:hAnsi="Times New Roman" w:cs="Times New Roman"/>
          <w:sz w:val="24"/>
          <w:szCs w:val="24"/>
          <w:lang w:eastAsia="it-IT"/>
        </w:rPr>
        <w:t>La prova orale si svolgerà nella regione stessa destinataria della domanda per tutti i casi che non sono oggetto di aggregazione, oppure nella regione che aggrega le altre, per tutti i posti e le classi di concorso che sono riportati negli Allegati.</w:t>
      </w:r>
    </w:p>
    <w:p w14:paraId="339BD4C9" w14:textId="77777777" w:rsidR="004B7D43" w:rsidRPr="002F7665" w:rsidRDefault="004B7D43" w:rsidP="002F7665"/>
    <w:sectPr w:rsidR="004B7D43" w:rsidRPr="002F766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1263E"/>
    <w:multiLevelType w:val="multilevel"/>
    <w:tmpl w:val="A6128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7529CF"/>
    <w:multiLevelType w:val="multilevel"/>
    <w:tmpl w:val="4D6CA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6740157">
    <w:abstractNumId w:val="1"/>
  </w:num>
  <w:num w:numId="2" w16cid:durableId="63456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7BE"/>
    <w:rsid w:val="000B73BC"/>
    <w:rsid w:val="00230D84"/>
    <w:rsid w:val="002F7665"/>
    <w:rsid w:val="0031313C"/>
    <w:rsid w:val="004B7D43"/>
    <w:rsid w:val="007737BE"/>
    <w:rsid w:val="00BB2B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1C081"/>
  <w15:docId w15:val="{5462AC57-7136-4C44-886D-02D215392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2F766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F7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391250">
      <w:bodyDiv w:val="1"/>
      <w:marLeft w:val="0"/>
      <w:marRight w:val="0"/>
      <w:marTop w:val="0"/>
      <w:marBottom w:val="0"/>
      <w:divBdr>
        <w:top w:val="none" w:sz="0" w:space="0" w:color="auto"/>
        <w:left w:val="none" w:sz="0" w:space="0" w:color="auto"/>
        <w:bottom w:val="none" w:sz="0" w:space="0" w:color="auto"/>
        <w:right w:val="none" w:sz="0" w:space="0" w:color="auto"/>
      </w:divBdr>
      <w:divsChild>
        <w:div w:id="1583298970">
          <w:marLeft w:val="0"/>
          <w:marRight w:val="0"/>
          <w:marTop w:val="0"/>
          <w:marBottom w:val="0"/>
          <w:divBdr>
            <w:top w:val="none" w:sz="0" w:space="0" w:color="auto"/>
            <w:left w:val="none" w:sz="0" w:space="0" w:color="auto"/>
            <w:bottom w:val="none" w:sz="0" w:space="0" w:color="auto"/>
            <w:right w:val="none" w:sz="0" w:space="0" w:color="auto"/>
          </w:divBdr>
          <w:divsChild>
            <w:div w:id="1188255255">
              <w:marLeft w:val="0"/>
              <w:marRight w:val="0"/>
              <w:marTop w:val="0"/>
              <w:marBottom w:val="0"/>
              <w:divBdr>
                <w:top w:val="none" w:sz="0" w:space="0" w:color="auto"/>
                <w:left w:val="none" w:sz="0" w:space="0" w:color="auto"/>
                <w:bottom w:val="none" w:sz="0" w:space="0" w:color="auto"/>
                <w:right w:val="none" w:sz="0" w:space="0" w:color="auto"/>
              </w:divBdr>
            </w:div>
          </w:divsChild>
        </w:div>
        <w:div w:id="373116363">
          <w:marLeft w:val="0"/>
          <w:marRight w:val="0"/>
          <w:marTop w:val="0"/>
          <w:marBottom w:val="0"/>
          <w:divBdr>
            <w:top w:val="none" w:sz="0" w:space="0" w:color="auto"/>
            <w:left w:val="none" w:sz="0" w:space="0" w:color="auto"/>
            <w:bottom w:val="none" w:sz="0" w:space="0" w:color="auto"/>
            <w:right w:val="none" w:sz="0" w:space="0" w:color="auto"/>
          </w:divBdr>
          <w:divsChild>
            <w:div w:id="1567836770">
              <w:marLeft w:val="0"/>
              <w:marRight w:val="0"/>
              <w:marTop w:val="0"/>
              <w:marBottom w:val="0"/>
              <w:divBdr>
                <w:top w:val="none" w:sz="0" w:space="0" w:color="auto"/>
                <w:left w:val="none" w:sz="0" w:space="0" w:color="auto"/>
                <w:bottom w:val="none" w:sz="0" w:space="0" w:color="auto"/>
                <w:right w:val="none" w:sz="0" w:space="0" w:color="auto"/>
              </w:divBdr>
            </w:div>
            <w:div w:id="647125295">
              <w:marLeft w:val="0"/>
              <w:marRight w:val="0"/>
              <w:marTop w:val="0"/>
              <w:marBottom w:val="0"/>
              <w:divBdr>
                <w:top w:val="none" w:sz="0" w:space="0" w:color="auto"/>
                <w:left w:val="none" w:sz="0" w:space="0" w:color="auto"/>
                <w:bottom w:val="none" w:sz="0" w:space="0" w:color="auto"/>
                <w:right w:val="none" w:sz="0" w:space="0" w:color="auto"/>
              </w:divBdr>
            </w:div>
            <w:div w:id="197132579">
              <w:marLeft w:val="0"/>
              <w:marRight w:val="0"/>
              <w:marTop w:val="0"/>
              <w:marBottom w:val="0"/>
              <w:divBdr>
                <w:top w:val="none" w:sz="0" w:space="0" w:color="auto"/>
                <w:left w:val="none" w:sz="0" w:space="0" w:color="auto"/>
                <w:bottom w:val="none" w:sz="0" w:space="0" w:color="auto"/>
                <w:right w:val="none" w:sz="0" w:space="0" w:color="auto"/>
              </w:divBdr>
            </w:div>
          </w:divsChild>
        </w:div>
        <w:div w:id="2050571552">
          <w:marLeft w:val="0"/>
          <w:marRight w:val="0"/>
          <w:marTop w:val="0"/>
          <w:marBottom w:val="0"/>
          <w:divBdr>
            <w:top w:val="none" w:sz="0" w:space="0" w:color="auto"/>
            <w:left w:val="none" w:sz="0" w:space="0" w:color="auto"/>
            <w:bottom w:val="none" w:sz="0" w:space="0" w:color="auto"/>
            <w:right w:val="none" w:sz="0" w:space="0" w:color="auto"/>
          </w:divBdr>
        </w:div>
      </w:divsChild>
    </w:div>
    <w:div w:id="461655922">
      <w:bodyDiv w:val="1"/>
      <w:marLeft w:val="0"/>
      <w:marRight w:val="0"/>
      <w:marTop w:val="0"/>
      <w:marBottom w:val="0"/>
      <w:divBdr>
        <w:top w:val="none" w:sz="0" w:space="0" w:color="auto"/>
        <w:left w:val="none" w:sz="0" w:space="0" w:color="auto"/>
        <w:bottom w:val="none" w:sz="0" w:space="0" w:color="auto"/>
        <w:right w:val="none" w:sz="0" w:space="0" w:color="auto"/>
      </w:divBdr>
      <w:divsChild>
        <w:div w:id="517935073">
          <w:marLeft w:val="0"/>
          <w:marRight w:val="0"/>
          <w:marTop w:val="0"/>
          <w:marBottom w:val="0"/>
          <w:divBdr>
            <w:top w:val="none" w:sz="0" w:space="0" w:color="auto"/>
            <w:left w:val="none" w:sz="0" w:space="0" w:color="auto"/>
            <w:bottom w:val="none" w:sz="0" w:space="0" w:color="auto"/>
            <w:right w:val="none" w:sz="0" w:space="0" w:color="auto"/>
          </w:divBdr>
          <w:divsChild>
            <w:div w:id="686366292">
              <w:marLeft w:val="0"/>
              <w:marRight w:val="0"/>
              <w:marTop w:val="0"/>
              <w:marBottom w:val="0"/>
              <w:divBdr>
                <w:top w:val="none" w:sz="0" w:space="0" w:color="auto"/>
                <w:left w:val="none" w:sz="0" w:space="0" w:color="auto"/>
                <w:bottom w:val="none" w:sz="0" w:space="0" w:color="auto"/>
                <w:right w:val="none" w:sz="0" w:space="0" w:color="auto"/>
              </w:divBdr>
            </w:div>
          </w:divsChild>
        </w:div>
        <w:div w:id="1099764154">
          <w:marLeft w:val="0"/>
          <w:marRight w:val="0"/>
          <w:marTop w:val="0"/>
          <w:marBottom w:val="0"/>
          <w:divBdr>
            <w:top w:val="none" w:sz="0" w:space="0" w:color="auto"/>
            <w:left w:val="none" w:sz="0" w:space="0" w:color="auto"/>
            <w:bottom w:val="none" w:sz="0" w:space="0" w:color="auto"/>
            <w:right w:val="none" w:sz="0" w:space="0" w:color="auto"/>
          </w:divBdr>
          <w:divsChild>
            <w:div w:id="657804147">
              <w:marLeft w:val="0"/>
              <w:marRight w:val="0"/>
              <w:marTop w:val="0"/>
              <w:marBottom w:val="0"/>
              <w:divBdr>
                <w:top w:val="none" w:sz="0" w:space="0" w:color="auto"/>
                <w:left w:val="none" w:sz="0" w:space="0" w:color="auto"/>
                <w:bottom w:val="none" w:sz="0" w:space="0" w:color="auto"/>
                <w:right w:val="none" w:sz="0" w:space="0" w:color="auto"/>
              </w:divBdr>
            </w:div>
            <w:div w:id="743531502">
              <w:marLeft w:val="0"/>
              <w:marRight w:val="0"/>
              <w:marTop w:val="0"/>
              <w:marBottom w:val="0"/>
              <w:divBdr>
                <w:top w:val="none" w:sz="0" w:space="0" w:color="auto"/>
                <w:left w:val="none" w:sz="0" w:space="0" w:color="auto"/>
                <w:bottom w:val="none" w:sz="0" w:space="0" w:color="auto"/>
                <w:right w:val="none" w:sz="0" w:space="0" w:color="auto"/>
              </w:divBdr>
            </w:div>
            <w:div w:id="1340431551">
              <w:marLeft w:val="0"/>
              <w:marRight w:val="0"/>
              <w:marTop w:val="0"/>
              <w:marBottom w:val="0"/>
              <w:divBdr>
                <w:top w:val="none" w:sz="0" w:space="0" w:color="auto"/>
                <w:left w:val="none" w:sz="0" w:space="0" w:color="auto"/>
                <w:bottom w:val="none" w:sz="0" w:space="0" w:color="auto"/>
                <w:right w:val="none" w:sz="0" w:space="0" w:color="auto"/>
              </w:divBdr>
            </w:div>
          </w:divsChild>
        </w:div>
        <w:div w:id="625745899">
          <w:marLeft w:val="0"/>
          <w:marRight w:val="0"/>
          <w:marTop w:val="0"/>
          <w:marBottom w:val="0"/>
          <w:divBdr>
            <w:top w:val="none" w:sz="0" w:space="0" w:color="auto"/>
            <w:left w:val="none" w:sz="0" w:space="0" w:color="auto"/>
            <w:bottom w:val="none" w:sz="0" w:space="0" w:color="auto"/>
            <w:right w:val="none" w:sz="0" w:space="0" w:color="auto"/>
          </w:divBdr>
        </w:div>
      </w:divsChild>
    </w:div>
    <w:div w:id="519585131">
      <w:bodyDiv w:val="1"/>
      <w:marLeft w:val="0"/>
      <w:marRight w:val="0"/>
      <w:marTop w:val="0"/>
      <w:marBottom w:val="0"/>
      <w:divBdr>
        <w:top w:val="none" w:sz="0" w:space="0" w:color="auto"/>
        <w:left w:val="none" w:sz="0" w:space="0" w:color="auto"/>
        <w:bottom w:val="none" w:sz="0" w:space="0" w:color="auto"/>
        <w:right w:val="none" w:sz="0" w:space="0" w:color="auto"/>
      </w:divBdr>
      <w:divsChild>
        <w:div w:id="1496728533">
          <w:marLeft w:val="0"/>
          <w:marRight w:val="0"/>
          <w:marTop w:val="0"/>
          <w:marBottom w:val="0"/>
          <w:divBdr>
            <w:top w:val="none" w:sz="0" w:space="0" w:color="auto"/>
            <w:left w:val="none" w:sz="0" w:space="0" w:color="auto"/>
            <w:bottom w:val="none" w:sz="0" w:space="0" w:color="auto"/>
            <w:right w:val="none" w:sz="0" w:space="0" w:color="auto"/>
          </w:divBdr>
          <w:divsChild>
            <w:div w:id="725954679">
              <w:marLeft w:val="0"/>
              <w:marRight w:val="0"/>
              <w:marTop w:val="0"/>
              <w:marBottom w:val="0"/>
              <w:divBdr>
                <w:top w:val="none" w:sz="0" w:space="0" w:color="auto"/>
                <w:left w:val="none" w:sz="0" w:space="0" w:color="auto"/>
                <w:bottom w:val="none" w:sz="0" w:space="0" w:color="auto"/>
                <w:right w:val="none" w:sz="0" w:space="0" w:color="auto"/>
              </w:divBdr>
            </w:div>
          </w:divsChild>
        </w:div>
        <w:div w:id="1781417279">
          <w:marLeft w:val="0"/>
          <w:marRight w:val="0"/>
          <w:marTop w:val="0"/>
          <w:marBottom w:val="0"/>
          <w:divBdr>
            <w:top w:val="none" w:sz="0" w:space="0" w:color="auto"/>
            <w:left w:val="none" w:sz="0" w:space="0" w:color="auto"/>
            <w:bottom w:val="none" w:sz="0" w:space="0" w:color="auto"/>
            <w:right w:val="none" w:sz="0" w:space="0" w:color="auto"/>
          </w:divBdr>
        </w:div>
      </w:divsChild>
    </w:div>
    <w:div w:id="669799384">
      <w:bodyDiv w:val="1"/>
      <w:marLeft w:val="0"/>
      <w:marRight w:val="0"/>
      <w:marTop w:val="0"/>
      <w:marBottom w:val="0"/>
      <w:divBdr>
        <w:top w:val="none" w:sz="0" w:space="0" w:color="auto"/>
        <w:left w:val="none" w:sz="0" w:space="0" w:color="auto"/>
        <w:bottom w:val="none" w:sz="0" w:space="0" w:color="auto"/>
        <w:right w:val="none" w:sz="0" w:space="0" w:color="auto"/>
      </w:divBdr>
      <w:divsChild>
        <w:div w:id="1418985824">
          <w:marLeft w:val="0"/>
          <w:marRight w:val="0"/>
          <w:marTop w:val="150"/>
          <w:marBottom w:val="150"/>
          <w:divBdr>
            <w:top w:val="none" w:sz="0" w:space="0" w:color="auto"/>
            <w:left w:val="none" w:sz="0" w:space="0" w:color="auto"/>
            <w:bottom w:val="single" w:sz="6" w:space="0" w:color="CCCCCC"/>
            <w:right w:val="none" w:sz="0" w:space="0" w:color="auto"/>
          </w:divBdr>
          <w:divsChild>
            <w:div w:id="808789887">
              <w:marLeft w:val="0"/>
              <w:marRight w:val="0"/>
              <w:marTop w:val="0"/>
              <w:marBottom w:val="0"/>
              <w:divBdr>
                <w:top w:val="none" w:sz="0" w:space="0" w:color="auto"/>
                <w:left w:val="none" w:sz="0" w:space="0" w:color="auto"/>
                <w:bottom w:val="none" w:sz="0" w:space="0" w:color="auto"/>
                <w:right w:val="none" w:sz="0" w:space="0" w:color="auto"/>
              </w:divBdr>
            </w:div>
          </w:divsChild>
        </w:div>
        <w:div w:id="925696240">
          <w:marLeft w:val="0"/>
          <w:marRight w:val="0"/>
          <w:marTop w:val="0"/>
          <w:marBottom w:val="0"/>
          <w:divBdr>
            <w:top w:val="none" w:sz="0" w:space="0" w:color="auto"/>
            <w:left w:val="none" w:sz="0" w:space="0" w:color="auto"/>
            <w:bottom w:val="none" w:sz="0" w:space="0" w:color="auto"/>
            <w:right w:val="none" w:sz="0" w:space="0" w:color="auto"/>
          </w:divBdr>
          <w:divsChild>
            <w:div w:id="894705448">
              <w:marLeft w:val="75"/>
              <w:marRight w:val="150"/>
              <w:marTop w:val="45"/>
              <w:marBottom w:val="75"/>
              <w:divBdr>
                <w:top w:val="none" w:sz="0" w:space="0" w:color="auto"/>
                <w:left w:val="none" w:sz="0" w:space="0" w:color="auto"/>
                <w:bottom w:val="none" w:sz="0" w:space="0" w:color="auto"/>
                <w:right w:val="none" w:sz="0" w:space="0" w:color="auto"/>
              </w:divBdr>
            </w:div>
            <w:div w:id="1271161251">
              <w:marLeft w:val="300"/>
              <w:marRight w:val="150"/>
              <w:marTop w:val="75"/>
              <w:marBottom w:val="0"/>
              <w:divBdr>
                <w:top w:val="none" w:sz="0" w:space="0" w:color="auto"/>
                <w:left w:val="none" w:sz="0" w:space="0" w:color="auto"/>
                <w:bottom w:val="none" w:sz="0" w:space="0" w:color="auto"/>
                <w:right w:val="none" w:sz="0" w:space="0" w:color="auto"/>
              </w:divBdr>
            </w:div>
            <w:div w:id="1495606373">
              <w:marLeft w:val="300"/>
              <w:marRight w:val="150"/>
              <w:marTop w:val="75"/>
              <w:marBottom w:val="0"/>
              <w:divBdr>
                <w:top w:val="none" w:sz="0" w:space="0" w:color="auto"/>
                <w:left w:val="none" w:sz="0" w:space="0" w:color="auto"/>
                <w:bottom w:val="none" w:sz="0" w:space="0" w:color="auto"/>
                <w:right w:val="none" w:sz="0" w:space="0" w:color="auto"/>
              </w:divBdr>
            </w:div>
          </w:divsChild>
        </w:div>
        <w:div w:id="291910090">
          <w:marLeft w:val="0"/>
          <w:marRight w:val="0"/>
          <w:marTop w:val="75"/>
          <w:marBottom w:val="150"/>
          <w:divBdr>
            <w:top w:val="none" w:sz="0" w:space="0" w:color="auto"/>
            <w:left w:val="none" w:sz="0" w:space="0" w:color="auto"/>
            <w:bottom w:val="none" w:sz="0" w:space="0" w:color="auto"/>
            <w:right w:val="none" w:sz="0" w:space="0" w:color="auto"/>
          </w:divBdr>
        </w:div>
      </w:divsChild>
    </w:div>
    <w:div w:id="1140419261">
      <w:bodyDiv w:val="1"/>
      <w:marLeft w:val="0"/>
      <w:marRight w:val="0"/>
      <w:marTop w:val="0"/>
      <w:marBottom w:val="0"/>
      <w:divBdr>
        <w:top w:val="none" w:sz="0" w:space="0" w:color="auto"/>
        <w:left w:val="none" w:sz="0" w:space="0" w:color="auto"/>
        <w:bottom w:val="none" w:sz="0" w:space="0" w:color="auto"/>
        <w:right w:val="none" w:sz="0" w:space="0" w:color="auto"/>
      </w:divBdr>
      <w:divsChild>
        <w:div w:id="535120374">
          <w:marLeft w:val="0"/>
          <w:marRight w:val="0"/>
          <w:marTop w:val="150"/>
          <w:marBottom w:val="150"/>
          <w:divBdr>
            <w:top w:val="none" w:sz="0" w:space="0" w:color="auto"/>
            <w:left w:val="none" w:sz="0" w:space="0" w:color="auto"/>
            <w:bottom w:val="single" w:sz="6" w:space="0" w:color="CCCCCC"/>
            <w:right w:val="none" w:sz="0" w:space="0" w:color="auto"/>
          </w:divBdr>
          <w:divsChild>
            <w:div w:id="1623878748">
              <w:marLeft w:val="0"/>
              <w:marRight w:val="0"/>
              <w:marTop w:val="0"/>
              <w:marBottom w:val="0"/>
              <w:divBdr>
                <w:top w:val="none" w:sz="0" w:space="0" w:color="auto"/>
                <w:left w:val="none" w:sz="0" w:space="0" w:color="auto"/>
                <w:bottom w:val="none" w:sz="0" w:space="0" w:color="auto"/>
                <w:right w:val="none" w:sz="0" w:space="0" w:color="auto"/>
              </w:divBdr>
            </w:div>
          </w:divsChild>
        </w:div>
        <w:div w:id="991641792">
          <w:marLeft w:val="0"/>
          <w:marRight w:val="0"/>
          <w:marTop w:val="0"/>
          <w:marBottom w:val="0"/>
          <w:divBdr>
            <w:top w:val="none" w:sz="0" w:space="0" w:color="auto"/>
            <w:left w:val="none" w:sz="0" w:space="0" w:color="auto"/>
            <w:bottom w:val="none" w:sz="0" w:space="0" w:color="auto"/>
            <w:right w:val="none" w:sz="0" w:space="0" w:color="auto"/>
          </w:divBdr>
          <w:divsChild>
            <w:div w:id="2012950188">
              <w:marLeft w:val="75"/>
              <w:marRight w:val="150"/>
              <w:marTop w:val="45"/>
              <w:marBottom w:val="75"/>
              <w:divBdr>
                <w:top w:val="none" w:sz="0" w:space="0" w:color="auto"/>
                <w:left w:val="none" w:sz="0" w:space="0" w:color="auto"/>
                <w:bottom w:val="none" w:sz="0" w:space="0" w:color="auto"/>
                <w:right w:val="none" w:sz="0" w:space="0" w:color="auto"/>
              </w:divBdr>
            </w:div>
            <w:div w:id="169105429">
              <w:marLeft w:val="300"/>
              <w:marRight w:val="150"/>
              <w:marTop w:val="75"/>
              <w:marBottom w:val="0"/>
              <w:divBdr>
                <w:top w:val="none" w:sz="0" w:space="0" w:color="auto"/>
                <w:left w:val="none" w:sz="0" w:space="0" w:color="auto"/>
                <w:bottom w:val="none" w:sz="0" w:space="0" w:color="auto"/>
                <w:right w:val="none" w:sz="0" w:space="0" w:color="auto"/>
              </w:divBdr>
            </w:div>
            <w:div w:id="1058674251">
              <w:marLeft w:val="300"/>
              <w:marRight w:val="150"/>
              <w:marTop w:val="75"/>
              <w:marBottom w:val="0"/>
              <w:divBdr>
                <w:top w:val="none" w:sz="0" w:space="0" w:color="auto"/>
                <w:left w:val="none" w:sz="0" w:space="0" w:color="auto"/>
                <w:bottom w:val="none" w:sz="0" w:space="0" w:color="auto"/>
                <w:right w:val="none" w:sz="0" w:space="0" w:color="auto"/>
              </w:divBdr>
            </w:div>
          </w:divsChild>
        </w:div>
        <w:div w:id="305864624">
          <w:marLeft w:val="0"/>
          <w:marRight w:val="0"/>
          <w:marTop w:val="75"/>
          <w:marBottom w:val="150"/>
          <w:divBdr>
            <w:top w:val="none" w:sz="0" w:space="0" w:color="auto"/>
            <w:left w:val="none" w:sz="0" w:space="0" w:color="auto"/>
            <w:bottom w:val="none" w:sz="0" w:space="0" w:color="auto"/>
            <w:right w:val="none" w:sz="0" w:space="0" w:color="auto"/>
          </w:divBdr>
          <w:divsChild>
            <w:div w:id="430585243">
              <w:marLeft w:val="0"/>
              <w:marRight w:val="0"/>
              <w:marTop w:val="45"/>
              <w:marBottom w:val="0"/>
              <w:divBdr>
                <w:top w:val="none" w:sz="0" w:space="0" w:color="auto"/>
                <w:left w:val="single" w:sz="48" w:space="0" w:color="FFFFFF"/>
                <w:bottom w:val="single" w:sz="48" w:space="0" w:color="FFFFFF"/>
                <w:right w:val="none" w:sz="0" w:space="0" w:color="auto"/>
              </w:divBdr>
              <w:divsChild>
                <w:div w:id="1918055191">
                  <w:marLeft w:val="0"/>
                  <w:marRight w:val="0"/>
                  <w:marTop w:val="0"/>
                  <w:marBottom w:val="0"/>
                  <w:divBdr>
                    <w:top w:val="single" w:sz="6" w:space="4" w:color="CCCCCC"/>
                    <w:left w:val="single" w:sz="6" w:space="4" w:color="CCCCCC"/>
                    <w:bottom w:val="single" w:sz="6" w:space="8" w:color="CCCCCC"/>
                    <w:right w:val="single" w:sz="6" w:space="4" w:color="CCCCCC"/>
                  </w:divBdr>
                </w:div>
              </w:divsChild>
            </w:div>
          </w:divsChild>
        </w:div>
      </w:divsChild>
    </w:div>
    <w:div w:id="1328971669">
      <w:bodyDiv w:val="1"/>
      <w:marLeft w:val="0"/>
      <w:marRight w:val="0"/>
      <w:marTop w:val="0"/>
      <w:marBottom w:val="0"/>
      <w:divBdr>
        <w:top w:val="none" w:sz="0" w:space="0" w:color="auto"/>
        <w:left w:val="none" w:sz="0" w:space="0" w:color="auto"/>
        <w:bottom w:val="none" w:sz="0" w:space="0" w:color="auto"/>
        <w:right w:val="none" w:sz="0" w:space="0" w:color="auto"/>
      </w:divBdr>
    </w:div>
    <w:div w:id="1554006326">
      <w:bodyDiv w:val="1"/>
      <w:marLeft w:val="0"/>
      <w:marRight w:val="0"/>
      <w:marTop w:val="0"/>
      <w:marBottom w:val="0"/>
      <w:divBdr>
        <w:top w:val="none" w:sz="0" w:space="0" w:color="auto"/>
        <w:left w:val="none" w:sz="0" w:space="0" w:color="auto"/>
        <w:bottom w:val="none" w:sz="0" w:space="0" w:color="auto"/>
        <w:right w:val="none" w:sz="0" w:space="0" w:color="auto"/>
      </w:divBdr>
      <w:divsChild>
        <w:div w:id="1384212022">
          <w:marLeft w:val="0"/>
          <w:marRight w:val="0"/>
          <w:marTop w:val="0"/>
          <w:marBottom w:val="0"/>
          <w:divBdr>
            <w:top w:val="none" w:sz="0" w:space="0" w:color="auto"/>
            <w:left w:val="none" w:sz="0" w:space="0" w:color="auto"/>
            <w:bottom w:val="none" w:sz="0" w:space="0" w:color="auto"/>
            <w:right w:val="none" w:sz="0" w:space="0" w:color="auto"/>
          </w:divBdr>
          <w:divsChild>
            <w:div w:id="399912612">
              <w:marLeft w:val="0"/>
              <w:marRight w:val="0"/>
              <w:marTop w:val="0"/>
              <w:marBottom w:val="0"/>
              <w:divBdr>
                <w:top w:val="none" w:sz="0" w:space="0" w:color="auto"/>
                <w:left w:val="none" w:sz="0" w:space="0" w:color="auto"/>
                <w:bottom w:val="none" w:sz="0" w:space="0" w:color="auto"/>
                <w:right w:val="none" w:sz="0" w:space="0" w:color="auto"/>
              </w:divBdr>
            </w:div>
          </w:divsChild>
        </w:div>
        <w:div w:id="998846461">
          <w:marLeft w:val="0"/>
          <w:marRight w:val="0"/>
          <w:marTop w:val="0"/>
          <w:marBottom w:val="0"/>
          <w:divBdr>
            <w:top w:val="none" w:sz="0" w:space="0" w:color="auto"/>
            <w:left w:val="none" w:sz="0" w:space="0" w:color="auto"/>
            <w:bottom w:val="none" w:sz="0" w:space="0" w:color="auto"/>
            <w:right w:val="none" w:sz="0" w:space="0" w:color="auto"/>
          </w:divBdr>
          <w:divsChild>
            <w:div w:id="1479495363">
              <w:marLeft w:val="0"/>
              <w:marRight w:val="0"/>
              <w:marTop w:val="0"/>
              <w:marBottom w:val="0"/>
              <w:divBdr>
                <w:top w:val="none" w:sz="0" w:space="0" w:color="auto"/>
                <w:left w:val="none" w:sz="0" w:space="0" w:color="auto"/>
                <w:bottom w:val="none" w:sz="0" w:space="0" w:color="auto"/>
                <w:right w:val="none" w:sz="0" w:space="0" w:color="auto"/>
              </w:divBdr>
            </w:div>
            <w:div w:id="740055139">
              <w:marLeft w:val="0"/>
              <w:marRight w:val="0"/>
              <w:marTop w:val="0"/>
              <w:marBottom w:val="0"/>
              <w:divBdr>
                <w:top w:val="none" w:sz="0" w:space="0" w:color="auto"/>
                <w:left w:val="none" w:sz="0" w:space="0" w:color="auto"/>
                <w:bottom w:val="none" w:sz="0" w:space="0" w:color="auto"/>
                <w:right w:val="none" w:sz="0" w:space="0" w:color="auto"/>
              </w:divBdr>
            </w:div>
            <w:div w:id="2045133480">
              <w:marLeft w:val="0"/>
              <w:marRight w:val="0"/>
              <w:marTop w:val="0"/>
              <w:marBottom w:val="0"/>
              <w:divBdr>
                <w:top w:val="none" w:sz="0" w:space="0" w:color="auto"/>
                <w:left w:val="none" w:sz="0" w:space="0" w:color="auto"/>
                <w:bottom w:val="none" w:sz="0" w:space="0" w:color="auto"/>
                <w:right w:val="none" w:sz="0" w:space="0" w:color="auto"/>
              </w:divBdr>
            </w:div>
          </w:divsChild>
        </w:div>
        <w:div w:id="166870389">
          <w:marLeft w:val="0"/>
          <w:marRight w:val="0"/>
          <w:marTop w:val="0"/>
          <w:marBottom w:val="0"/>
          <w:divBdr>
            <w:top w:val="none" w:sz="0" w:space="0" w:color="auto"/>
            <w:left w:val="none" w:sz="0" w:space="0" w:color="auto"/>
            <w:bottom w:val="none" w:sz="0" w:space="0" w:color="auto"/>
            <w:right w:val="none" w:sz="0" w:space="0" w:color="auto"/>
          </w:divBdr>
          <w:divsChild>
            <w:div w:id="1036925983">
              <w:marLeft w:val="0"/>
              <w:marRight w:val="0"/>
              <w:marTop w:val="0"/>
              <w:marBottom w:val="0"/>
              <w:divBdr>
                <w:top w:val="none" w:sz="0" w:space="0" w:color="auto"/>
                <w:left w:val="none" w:sz="0" w:space="0" w:color="auto"/>
                <w:bottom w:val="none" w:sz="0" w:space="0" w:color="auto"/>
                <w:right w:val="none" w:sz="0" w:space="0" w:color="auto"/>
              </w:divBdr>
              <w:divsChild>
                <w:div w:id="147602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cgil.it/scuola/sperimentazione-filiera-tecnologico-professionale-flc-cgil-prodotto-istanza-accesso-atti.flc" TargetMode="External"/><Relationship Id="rId13" Type="http://schemas.openxmlformats.org/officeDocument/2006/relationships/hyperlink" Target="https://www.flcgil.it/leggi-normative/documenti/decreti-direttoriali/decreto-dipartimentale-56-del-13-gennaio-2025-aggregazione-procedure-concorsuali-accesso-ruoli-personale-docente-infanzia-e-primaria-posto-comune-e-sostegno.flc" TargetMode="External"/><Relationship Id="rId3" Type="http://schemas.openxmlformats.org/officeDocument/2006/relationships/settings" Target="settings.xml"/><Relationship Id="rId7" Type="http://schemas.openxmlformats.org/officeDocument/2006/relationships/hyperlink" Target="https://www.flcgil.it/leggi-normative/documenti/decreti-ministeriali/decreto-ministeriale-256-del-16-dicembre-2024-attivazione-percorsi-sperimentali-filiera-formativa-tecnologico-professionale-as-2025-2026.flc" TargetMode="External"/><Relationship Id="rId12" Type="http://schemas.openxmlformats.org/officeDocument/2006/relationships/hyperlink" Target="https://www.flcgil.it/leggi-normative/documenti/decreti-direttoriali/decreto-dipartimentale-55-del-13-gennaio-2025-aggregazione-procedure-concorsuali-accesso-ruoli-personale-docente-secondaria-primo-e-secondo-grado-posto-comune-e-sostegno.flc"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flcgil.it/attualita/legge-di-bilancio-2025-sintesi-principali-misure-settori-conoscenza.flc" TargetMode="External"/><Relationship Id="rId11" Type="http://schemas.openxmlformats.org/officeDocument/2006/relationships/hyperlink" Target="https://www.flcgil.it/leggi-normative/documenti/note-ministeriali/nota-1765-del-15-gennaio-2025-attivita-formative-percorso-formazione-e-prova-personale-docente-ed-educativo-neoassunto-chiarimenti.flc" TargetMode="External"/><Relationship Id="rId5" Type="http://schemas.openxmlformats.org/officeDocument/2006/relationships/hyperlink" Target="https://www.flcgil.it/leggi-normative/documenti/decreti-ministeriali/decreto-ministeriale-243-del-3-dicembre-2024-determinazione-contingente-docenti-secondaria-primo-secondo-grado-per-compiti-tutoriali-as-2024-25.flc" TargetMode="External"/><Relationship Id="rId15" Type="http://schemas.openxmlformats.org/officeDocument/2006/relationships/hyperlink" Target="https://www.flcgil.it/scuola/precari/concorsi-pnrr-2-pubblicati-bandi-domande-11-dicembre-30-dicembre-2024.flc" TargetMode="External"/><Relationship Id="rId10" Type="http://schemas.openxmlformats.org/officeDocument/2006/relationships/hyperlink" Target="https://www.flcgil.it/comunicati-stampa/flc/fracassi-premi-a-regioni-per-dimensionamento-atto-di-ritorsione.flc" TargetMode="External"/><Relationship Id="rId4" Type="http://schemas.openxmlformats.org/officeDocument/2006/relationships/webSettings" Target="webSettings.xml"/><Relationship Id="rId9" Type="http://schemas.openxmlformats.org/officeDocument/2006/relationships/hyperlink" Target="https://www.flcgil.it/leggi-normative/documenti/decreti-legge/decreto-legge-1-del-16-gennaio-2025-misure-urgenti-in-materia-di-riorganizzazione-sistema-scolastico-missione-4-pnrr.flc" TargetMode="External"/><Relationship Id="rId14" Type="http://schemas.openxmlformats.org/officeDocument/2006/relationships/hyperlink" Target="https://www.flcgil.it/scuola/precari/concorsi-pnrr-2-pubblicati-bandi-domande-11-dicembre-30-dicembre-2024.flc"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5</Pages>
  <Words>2477</Words>
  <Characters>14120</Characters>
  <Application>Microsoft Office Word</Application>
  <DocSecurity>0</DocSecurity>
  <Lines>117</Lines>
  <Paragraphs>33</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FLC Cgil Imperia</cp:lastModifiedBy>
  <cp:revision>3</cp:revision>
  <cp:lastPrinted>2025-01-15T08:35:00Z</cp:lastPrinted>
  <dcterms:created xsi:type="dcterms:W3CDTF">2025-01-17T16:49:00Z</dcterms:created>
  <dcterms:modified xsi:type="dcterms:W3CDTF">2025-01-17T18:24:00Z</dcterms:modified>
</cp:coreProperties>
</file>